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23" w:rsidRPr="00EF72AB" w:rsidRDefault="00345223" w:rsidP="00EF72AB">
      <w:pPr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0" w:name="_GoBack"/>
      <w:bookmarkEnd w:id="0"/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>ORDENANZA Nº 12.221/2018.</w:t>
      </w:r>
    </w:p>
    <w:p w:rsidR="00345223" w:rsidRPr="00EF72AB" w:rsidRDefault="00345223" w:rsidP="00EF72AB">
      <w:pPr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>EXPTE.Nº</w:t>
      </w:r>
      <w:proofErr w:type="spellEnd"/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 xml:space="preserve"> 6175/2018-H.C.D.</w:t>
      </w:r>
    </w:p>
    <w:p w:rsidR="00EF72AB" w:rsidRDefault="003F2265" w:rsidP="00EF72AB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>VISTO</w:t>
      </w:r>
      <w:r w:rsidRPr="00EF72AB">
        <w:rPr>
          <w:rFonts w:ascii="Bookman Old Style" w:hAnsi="Bookman Old Style" w:cs="Arial"/>
          <w:sz w:val="24"/>
          <w:szCs w:val="24"/>
        </w:rPr>
        <w:t xml:space="preserve">: </w:t>
      </w:r>
    </w:p>
    <w:p w:rsidR="003F2265" w:rsidRPr="00EF72AB" w:rsidRDefault="003F2265" w:rsidP="00EF72AB">
      <w:pPr>
        <w:spacing w:line="360" w:lineRule="auto"/>
        <w:ind w:firstLine="708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sz w:val="24"/>
          <w:szCs w:val="24"/>
        </w:rPr>
        <w:t>El Expediente Nº 1992/2018, caratulado “DIRECCIÓN DE ASUNTOS LEGALES S/ DONACIÓN – “RESOLUCIÓN Nº 1223 7 INMUEBLES”; y</w:t>
      </w:r>
    </w:p>
    <w:p w:rsidR="003F2265" w:rsidRPr="00EF72AB" w:rsidRDefault="003F2265" w:rsidP="00EF72A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 xml:space="preserve">CONSIDERANDO: </w:t>
      </w:r>
    </w:p>
    <w:p w:rsidR="003F2265" w:rsidRPr="00EF72AB" w:rsidRDefault="003F2265" w:rsidP="00EF72AB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EF72AB">
        <w:rPr>
          <w:rFonts w:ascii="Bookman Old Style" w:hAnsi="Bookman Old Style" w:cs="Arial"/>
          <w:sz w:val="24"/>
          <w:szCs w:val="24"/>
        </w:rPr>
        <w:t xml:space="preserve">Que mediante nota de fecha 5 de marzo del año 2018 (Ref. 31413-50126/00) </w:t>
      </w:r>
      <w:r w:rsidRPr="00EF72AB">
        <w:rPr>
          <w:rFonts w:ascii="Bookman Old Style" w:hAnsi="Bookman Old Style" w:cs="Arial"/>
          <w:sz w:val="24"/>
          <w:szCs w:val="24"/>
          <w:lang w:val="es-ES_tradnl"/>
        </w:rPr>
        <w:t>el Instituto Autárquico de Planeamiento y Vivienda de la Provincia de Entre Ríos ha reiterado la Resolución de Directorio Nº 1223 de fecha 9 de noviembre del año 2000, mediante la cual oferta en donación a la Municipalidad de San José de Gualeguaychú siete (7) fracciones de terreno de su propiedad que corresponden a calles y espacios verdes del grupo habitaciones “GUALEGUAYCHÚ 155 VIVIENDAS”.</w:t>
      </w:r>
    </w:p>
    <w:p w:rsidR="003F2265" w:rsidRPr="00EF72AB" w:rsidRDefault="003F2265" w:rsidP="00EF72AB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EF72AB">
        <w:rPr>
          <w:rFonts w:ascii="Bookman Old Style" w:hAnsi="Bookman Old Style" w:cs="Arial"/>
          <w:sz w:val="24"/>
          <w:szCs w:val="24"/>
          <w:lang w:val="es-ES_tradnl"/>
        </w:rPr>
        <w:t>Que de acuerdo a los considerandos de la mencionada Resolución Nº 1.223 los datos catastrales de dichos inmuebles son: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 xml:space="preserve">PLANO Nº: 57.309 – LOTE ESPACIO VERDE-  </w:t>
      </w:r>
      <w:r w:rsidRPr="00EF72AB">
        <w:rPr>
          <w:rFonts w:ascii="Bookman Old Style" w:hAnsi="Bookman Old Style" w:cs="Arial"/>
          <w:sz w:val="24"/>
          <w:szCs w:val="24"/>
        </w:rPr>
        <w:t>LOCALIZACIÓN: provincia de Entre Ríos, Departamento Gualeguaychú, Ejido de Gualeguaychú- Cuarta- Sección de Quintas- Según loteo Manzana 20 “f”, superficie: 844,50 m2.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>PLANO Nº 57.341: LOTE ESPACIO VERDE- LOCALIZACIÓN</w:t>
      </w:r>
      <w:proofErr w:type="gramStart"/>
      <w:r w:rsidRPr="00EF72AB">
        <w:rPr>
          <w:rFonts w:ascii="Bookman Old Style" w:hAnsi="Bookman Old Style" w:cs="Arial"/>
          <w:b/>
          <w:sz w:val="24"/>
          <w:szCs w:val="24"/>
        </w:rPr>
        <w:t>:</w:t>
      </w:r>
      <w:r w:rsidRPr="00EF72AB">
        <w:rPr>
          <w:rFonts w:ascii="Bookman Old Style" w:hAnsi="Bookman Old Style" w:cs="Arial"/>
          <w:sz w:val="24"/>
          <w:szCs w:val="24"/>
        </w:rPr>
        <w:t xml:space="preserve">  Provincia</w:t>
      </w:r>
      <w:proofErr w:type="gramEnd"/>
      <w:r w:rsidRPr="00EF72AB">
        <w:rPr>
          <w:rFonts w:ascii="Bookman Old Style" w:hAnsi="Bookman Old Style" w:cs="Arial"/>
          <w:sz w:val="24"/>
          <w:szCs w:val="24"/>
        </w:rPr>
        <w:t xml:space="preserve"> de Entre Ríos, Departamento Gualeguaychú – Ejido de Gualeguaychú – Cuarta- Sección de Quintas- Según loteo Manzana “e”, superficie: 323,00 m2.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 xml:space="preserve">PLANO Nº 57.363: LOTE ESPACIO VERDE- LOCALIZACIÓN: </w:t>
      </w:r>
      <w:r w:rsidRPr="00EF72AB">
        <w:rPr>
          <w:rFonts w:ascii="Bookman Old Style" w:hAnsi="Bookman Old Style" w:cs="Arial"/>
          <w:sz w:val="24"/>
          <w:szCs w:val="24"/>
        </w:rPr>
        <w:t xml:space="preserve">  Provincia de Entre Ríos, Departamento Gualeguaychú – Ejido de </w:t>
      </w:r>
      <w:r w:rsidRPr="00EF72AB">
        <w:rPr>
          <w:rFonts w:ascii="Bookman Old Style" w:hAnsi="Bookman Old Style" w:cs="Arial"/>
          <w:sz w:val="24"/>
          <w:szCs w:val="24"/>
        </w:rPr>
        <w:lastRenderedPageBreak/>
        <w:t>Gualeguaychú – Cuarta- Sección de Quintas- Según loteo Manzana 18 “e”, superficie: 601,87 m2.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 xml:space="preserve">PLANO Nº 57.374: LOTE ESPACIO VERDE- LOCALIZACIÓN: </w:t>
      </w:r>
      <w:r w:rsidRPr="00EF72AB">
        <w:rPr>
          <w:rFonts w:ascii="Bookman Old Style" w:hAnsi="Bookman Old Style" w:cs="Arial"/>
          <w:sz w:val="24"/>
          <w:szCs w:val="24"/>
        </w:rPr>
        <w:t>Provincia de Entre Ríos, Departamento Gualeguaychú – Ejido de Gualeguaychú – Cuarta- Sección de Quintas- Según loteo Manzana 18 “b”, superficie: 1622,83 m2.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 xml:space="preserve">PLANO Nº 57.342: LOTE CALLE-  LOCALIZACIÓN: </w:t>
      </w:r>
      <w:r w:rsidRPr="00EF72AB">
        <w:rPr>
          <w:rFonts w:ascii="Bookman Old Style" w:hAnsi="Bookman Old Style" w:cs="Arial"/>
          <w:sz w:val="24"/>
          <w:szCs w:val="24"/>
        </w:rPr>
        <w:t>Provincia de Entre Ríos, Departamento Gualeguaychú – Ejido de Gualeguaychú – Cuarta- Sección de Quintas- Según loteo Manzana “e”, superficie: 2.036,61 m2.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 xml:space="preserve">PLANO Nº 57.398: LOTE CALLE-  LOCALIZACIÓN: </w:t>
      </w:r>
      <w:r w:rsidRPr="00EF72AB">
        <w:rPr>
          <w:rFonts w:ascii="Bookman Old Style" w:hAnsi="Bookman Old Style" w:cs="Arial"/>
          <w:sz w:val="24"/>
          <w:szCs w:val="24"/>
        </w:rPr>
        <w:t>Provincia de Entre Ríos, Departamento Gualeguaychú – Ejido de Gualeguaychú – Cuarta- Sección de Quintas, superficie: 4.685,40 m2.  Toma del T.I. 39,58 m2- Toma del T. II 1.508,58 m2 y toma del T. III 3.137,24 m2.</w:t>
      </w:r>
    </w:p>
    <w:p w:rsidR="003F2265" w:rsidRPr="00EF72AB" w:rsidRDefault="003F2265" w:rsidP="00EF72AB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 xml:space="preserve">PLANO Nº 57.343: LOTE ENSANCHE- LOCALIZACIÓN: </w:t>
      </w:r>
      <w:r w:rsidRPr="00EF72AB">
        <w:rPr>
          <w:rFonts w:ascii="Bookman Old Style" w:hAnsi="Bookman Old Style" w:cs="Arial"/>
          <w:sz w:val="24"/>
          <w:szCs w:val="24"/>
        </w:rPr>
        <w:t>Provincia de Entre Ríos, Departamento Gualeguaychú – Ejido de Gualeguaychú – Cuarta- Sección de Quintas- Según loteo Manzana “e”, superficie: 46,96.</w:t>
      </w:r>
    </w:p>
    <w:p w:rsidR="003F2265" w:rsidRPr="00EF72AB" w:rsidRDefault="003F2265" w:rsidP="00EF72A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sz w:val="24"/>
          <w:szCs w:val="24"/>
        </w:rPr>
        <w:t>Que en virtud de lo dispuesto por el artículo 95º inciso r) de la Ley Nº 10.027 surge necesario autorizar al Departamento Ejecutivo a aceptar la donación de dichas fracciones de terreno que constituyen Calles Públicas y Espacios Verdes del grupo habitacional “GUALEGUAYCHÚ 155 VIVIENDAS”.</w:t>
      </w:r>
    </w:p>
    <w:p w:rsidR="003F2265" w:rsidRPr="00EF72AB" w:rsidRDefault="003F2265" w:rsidP="00EF72A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sz w:val="24"/>
          <w:szCs w:val="24"/>
        </w:rPr>
        <w:t>Que en las presentes actuaciones ha tomado debida intervención la Dirección de Asuntos Legales sin manifestar objeciones al dictado del presente acto administrativo.</w:t>
      </w:r>
    </w:p>
    <w:p w:rsidR="003F2265" w:rsidRPr="00EF72AB" w:rsidRDefault="003F2265" w:rsidP="00EF72A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>POR ELLO:</w:t>
      </w:r>
    </w:p>
    <w:p w:rsidR="003F2265" w:rsidRPr="00EF72AB" w:rsidRDefault="003F2265" w:rsidP="00EF72A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</w:rPr>
        <w:t>EL HONORABLE CONCEJO DELIBERANTE DE LA MUNICIPALIDAD DE SAN JOSE DE GUALEGUAYCHU SANCIONA LA SIGUIENTE</w:t>
      </w:r>
    </w:p>
    <w:p w:rsidR="003F2265" w:rsidRPr="00EF72AB" w:rsidRDefault="003F2265" w:rsidP="00EF72A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EF72AB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ORDENANZA</w:t>
      </w:r>
    </w:p>
    <w:p w:rsidR="003F2265" w:rsidRPr="00EF72AB" w:rsidRDefault="003F2265" w:rsidP="00EF72A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>ARTÍCULO 1º</w:t>
      </w:r>
      <w:r w:rsidRPr="00EF72AB">
        <w:rPr>
          <w:rFonts w:ascii="Bookman Old Style" w:hAnsi="Bookman Old Style" w:cs="Arial"/>
          <w:b/>
          <w:sz w:val="24"/>
          <w:szCs w:val="24"/>
        </w:rPr>
        <w:t>.-</w:t>
      </w:r>
      <w:r w:rsidRPr="00EF72AB">
        <w:rPr>
          <w:rFonts w:ascii="Bookman Old Style" w:hAnsi="Bookman Old Style" w:cs="Arial"/>
          <w:sz w:val="24"/>
          <w:szCs w:val="24"/>
        </w:rPr>
        <w:t xml:space="preserve"> </w:t>
      </w:r>
      <w:r w:rsidRPr="00EF72AB">
        <w:rPr>
          <w:rFonts w:ascii="Bookman Old Style" w:hAnsi="Bookman Old Style" w:cs="Arial"/>
          <w:b/>
          <w:sz w:val="24"/>
          <w:szCs w:val="24"/>
        </w:rPr>
        <w:t>AUTORÍCESE</w:t>
      </w:r>
      <w:r w:rsidRPr="00EF72AB">
        <w:rPr>
          <w:rFonts w:ascii="Bookman Old Style" w:hAnsi="Bookman Old Style" w:cs="Arial"/>
          <w:sz w:val="24"/>
          <w:szCs w:val="24"/>
        </w:rPr>
        <w:t xml:space="preserve"> al Departamento Ejecutivo a aceptar la Oferta de Donación realizada por el Instituto Autárquico de Planeamiento y Vivienda de la provincia de Entre Ríos de los siete (7) inmuebles que se describen en los considerandos de la presente. </w:t>
      </w:r>
    </w:p>
    <w:p w:rsidR="003F2265" w:rsidRPr="00EF72AB" w:rsidRDefault="003F2265" w:rsidP="00EF72A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F72AB">
        <w:rPr>
          <w:rFonts w:ascii="Bookman Old Style" w:hAnsi="Bookman Old Style" w:cs="Arial"/>
          <w:b/>
          <w:sz w:val="24"/>
          <w:szCs w:val="24"/>
          <w:u w:val="single"/>
        </w:rPr>
        <w:t>ARTÍCULO 2º</w:t>
      </w:r>
      <w:r w:rsidRPr="00EF72AB">
        <w:rPr>
          <w:rFonts w:ascii="Bookman Old Style" w:hAnsi="Bookman Old Style" w:cs="Arial"/>
          <w:b/>
          <w:sz w:val="24"/>
          <w:szCs w:val="24"/>
        </w:rPr>
        <w:t>.-</w:t>
      </w:r>
      <w:r w:rsidRPr="00EF72AB">
        <w:rPr>
          <w:rFonts w:ascii="Bookman Old Style" w:hAnsi="Bookman Old Style" w:cs="Arial"/>
          <w:sz w:val="24"/>
          <w:szCs w:val="24"/>
        </w:rPr>
        <w:t xml:space="preserve"> </w:t>
      </w:r>
      <w:r w:rsidRPr="00EF72AB">
        <w:rPr>
          <w:rFonts w:ascii="Bookman Old Style" w:hAnsi="Bookman Old Style" w:cs="Arial"/>
          <w:b/>
          <w:sz w:val="24"/>
          <w:szCs w:val="24"/>
        </w:rPr>
        <w:t>COMUNIQUESE,</w:t>
      </w:r>
      <w:r w:rsidR="00EF72AB" w:rsidRPr="00EF72AB">
        <w:rPr>
          <w:rFonts w:ascii="Bookman Old Style" w:hAnsi="Bookman Old Style" w:cs="Arial"/>
          <w:sz w:val="24"/>
          <w:szCs w:val="24"/>
        </w:rPr>
        <w:t xml:space="preserve"> publíquese y archívese.</w:t>
      </w:r>
    </w:p>
    <w:p w:rsidR="003F2265" w:rsidRPr="00EF72AB" w:rsidRDefault="003F2265" w:rsidP="00EF72AB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3F2265" w:rsidRPr="00EF72AB" w:rsidRDefault="00345223" w:rsidP="00EF72AB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EF72AB">
        <w:rPr>
          <w:rFonts w:ascii="Bookman Old Style" w:hAnsi="Bookman Old Style" w:cs="Tahoma"/>
          <w:b/>
          <w:sz w:val="24"/>
          <w:szCs w:val="24"/>
        </w:rPr>
        <w:t>Sala de Sesiones.</w:t>
      </w:r>
    </w:p>
    <w:p w:rsidR="00345223" w:rsidRPr="00EF72AB" w:rsidRDefault="00345223" w:rsidP="00EF72AB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EF72AB">
        <w:rPr>
          <w:rFonts w:ascii="Bookman Old Style" w:hAnsi="Bookman Old Style" w:cs="Tahoma"/>
          <w:b/>
          <w:sz w:val="24"/>
          <w:szCs w:val="24"/>
        </w:rPr>
        <w:t>San José de Gualeguaychú, 26 de abril de 2018.</w:t>
      </w:r>
    </w:p>
    <w:p w:rsidR="00345223" w:rsidRPr="00EF72AB" w:rsidRDefault="00345223" w:rsidP="00EF72AB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EF72AB">
        <w:rPr>
          <w:rFonts w:ascii="Bookman Old Style" w:hAnsi="Bookman Old Style" w:cs="Tahoma"/>
          <w:b/>
          <w:sz w:val="24"/>
          <w:szCs w:val="24"/>
        </w:rPr>
        <w:t>Jorge F. Maradey, Presidente – Leandro M. Silva, Secretario.</w:t>
      </w:r>
    </w:p>
    <w:sectPr w:rsidR="00345223" w:rsidRPr="00EF72AB" w:rsidSect="00EF7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34" w:rsidRDefault="00272534">
      <w:r>
        <w:separator/>
      </w:r>
    </w:p>
  </w:endnote>
  <w:endnote w:type="continuationSeparator" w:id="0">
    <w:p w:rsidR="00272534" w:rsidRDefault="0027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33BD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33BD9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33BD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33BD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33BD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33BD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34" w:rsidRDefault="00272534">
      <w:r>
        <w:separator/>
      </w:r>
    </w:p>
  </w:footnote>
  <w:footnote w:type="continuationSeparator" w:id="0">
    <w:p w:rsidR="00272534" w:rsidRDefault="0027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EF72AB" w:rsidRDefault="00EF72AB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EF72AB">
      <w:rPr>
        <w:rFonts w:ascii="Bookman Old Style" w:hAnsi="Bookman Old Style"/>
        <w:b/>
        <w:sz w:val="20"/>
        <w:u w:val="single"/>
      </w:rPr>
      <w:t>Ordenanza Nº12.221/2018</w:t>
    </w:r>
  </w:p>
  <w:p w:rsidR="00EF72AB" w:rsidRDefault="00EF72AB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EF72AB" w:rsidRDefault="00EF72AB" w:rsidP="00EF72AB">
    <w:pPr>
      <w:pStyle w:val="Encabezado"/>
      <w:jc w:val="right"/>
      <w:rPr>
        <w:rFonts w:ascii="Bookman Old Style" w:hAnsi="Bookman Old Style"/>
        <w:b/>
        <w:sz w:val="20"/>
        <w:u w:val="single"/>
      </w:rPr>
    </w:pPr>
    <w:r w:rsidRPr="00EF72AB">
      <w:rPr>
        <w:rFonts w:ascii="Bookman Old Style" w:hAnsi="Bookman Old Style"/>
        <w:b/>
        <w:sz w:val="20"/>
        <w:u w:val="single"/>
      </w:rPr>
      <w:t>Ordenanza Nº12.221/2018.</w:t>
    </w:r>
  </w:p>
  <w:p w:rsidR="00E648E6" w:rsidRDefault="00E648E6">
    <w:pPr>
      <w:pStyle w:val="Encabezado"/>
      <w:pBdr>
        <w:bottom w:val="single" w:sz="6" w:space="1" w:color="auto"/>
      </w:pBdr>
    </w:pPr>
  </w:p>
  <w:p w:rsidR="00EF72AB" w:rsidRDefault="00EF72AB">
    <w:pPr>
      <w:pStyle w:val="Encabezado"/>
      <w:pBdr>
        <w:bottom w:val="single" w:sz="6" w:space="1" w:color="auto"/>
      </w:pBdr>
    </w:pPr>
  </w:p>
  <w:p w:rsidR="00EF72AB" w:rsidRDefault="00EF72AB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EF72AB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AB321D"/>
    <w:multiLevelType w:val="hybridMultilevel"/>
    <w:tmpl w:val="65668C06"/>
    <w:lvl w:ilvl="0" w:tplc="27904D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46990"/>
    <w:rsid w:val="00055547"/>
    <w:rsid w:val="000639A9"/>
    <w:rsid w:val="00096606"/>
    <w:rsid w:val="000A27D0"/>
    <w:rsid w:val="000B1600"/>
    <w:rsid w:val="000D4DAC"/>
    <w:rsid w:val="000E5CA0"/>
    <w:rsid w:val="000F54B1"/>
    <w:rsid w:val="00104463"/>
    <w:rsid w:val="0011162C"/>
    <w:rsid w:val="00123695"/>
    <w:rsid w:val="001400AF"/>
    <w:rsid w:val="00163802"/>
    <w:rsid w:val="00176DDE"/>
    <w:rsid w:val="001878FD"/>
    <w:rsid w:val="001B33ED"/>
    <w:rsid w:val="001B6D27"/>
    <w:rsid w:val="001F6399"/>
    <w:rsid w:val="002044FF"/>
    <w:rsid w:val="00216F22"/>
    <w:rsid w:val="00223D15"/>
    <w:rsid w:val="00230738"/>
    <w:rsid w:val="002342C4"/>
    <w:rsid w:val="002675F9"/>
    <w:rsid w:val="0027076A"/>
    <w:rsid w:val="00272534"/>
    <w:rsid w:val="00287897"/>
    <w:rsid w:val="002975F8"/>
    <w:rsid w:val="002A0C66"/>
    <w:rsid w:val="002B51AF"/>
    <w:rsid w:val="002C5C58"/>
    <w:rsid w:val="002C7D73"/>
    <w:rsid w:val="002E4275"/>
    <w:rsid w:val="0030719C"/>
    <w:rsid w:val="0032144C"/>
    <w:rsid w:val="00322C95"/>
    <w:rsid w:val="00325348"/>
    <w:rsid w:val="00336864"/>
    <w:rsid w:val="00336DC8"/>
    <w:rsid w:val="00341AB4"/>
    <w:rsid w:val="00345223"/>
    <w:rsid w:val="0034547D"/>
    <w:rsid w:val="00357E64"/>
    <w:rsid w:val="00361BFC"/>
    <w:rsid w:val="0037069F"/>
    <w:rsid w:val="00386337"/>
    <w:rsid w:val="00390004"/>
    <w:rsid w:val="00396E49"/>
    <w:rsid w:val="003D3A10"/>
    <w:rsid w:val="003E10ED"/>
    <w:rsid w:val="003F2265"/>
    <w:rsid w:val="00405602"/>
    <w:rsid w:val="00406694"/>
    <w:rsid w:val="004100DE"/>
    <w:rsid w:val="00410667"/>
    <w:rsid w:val="00413325"/>
    <w:rsid w:val="00455C31"/>
    <w:rsid w:val="004705F5"/>
    <w:rsid w:val="004826DF"/>
    <w:rsid w:val="004C1A5E"/>
    <w:rsid w:val="004C69D5"/>
    <w:rsid w:val="004C6F2A"/>
    <w:rsid w:val="004D02C6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30669"/>
    <w:rsid w:val="0056796B"/>
    <w:rsid w:val="00573832"/>
    <w:rsid w:val="00582752"/>
    <w:rsid w:val="00591D5C"/>
    <w:rsid w:val="005A43B3"/>
    <w:rsid w:val="005C4D8B"/>
    <w:rsid w:val="005E088A"/>
    <w:rsid w:val="005E7D7F"/>
    <w:rsid w:val="0062026A"/>
    <w:rsid w:val="0064149F"/>
    <w:rsid w:val="0064382B"/>
    <w:rsid w:val="00647B6F"/>
    <w:rsid w:val="00661946"/>
    <w:rsid w:val="00677FBA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3BD9"/>
    <w:rsid w:val="007347EA"/>
    <w:rsid w:val="00747717"/>
    <w:rsid w:val="00775E59"/>
    <w:rsid w:val="00795BEA"/>
    <w:rsid w:val="007D1861"/>
    <w:rsid w:val="007F7084"/>
    <w:rsid w:val="00803E6B"/>
    <w:rsid w:val="0080415E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276"/>
    <w:rsid w:val="009023D7"/>
    <w:rsid w:val="00904C00"/>
    <w:rsid w:val="0092001B"/>
    <w:rsid w:val="00920411"/>
    <w:rsid w:val="00955EAD"/>
    <w:rsid w:val="009577BD"/>
    <w:rsid w:val="009652AB"/>
    <w:rsid w:val="00970330"/>
    <w:rsid w:val="00971181"/>
    <w:rsid w:val="009865A9"/>
    <w:rsid w:val="0099496C"/>
    <w:rsid w:val="009B7091"/>
    <w:rsid w:val="009F5121"/>
    <w:rsid w:val="00A014DB"/>
    <w:rsid w:val="00A15385"/>
    <w:rsid w:val="00A155BA"/>
    <w:rsid w:val="00A34AC8"/>
    <w:rsid w:val="00A359A2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B06B8E"/>
    <w:rsid w:val="00B14AD4"/>
    <w:rsid w:val="00B227E1"/>
    <w:rsid w:val="00B26460"/>
    <w:rsid w:val="00B46116"/>
    <w:rsid w:val="00B46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62E3D"/>
    <w:rsid w:val="00C7615C"/>
    <w:rsid w:val="00C82A5B"/>
    <w:rsid w:val="00CD2538"/>
    <w:rsid w:val="00CE6F03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E22777"/>
    <w:rsid w:val="00E30D22"/>
    <w:rsid w:val="00E320F6"/>
    <w:rsid w:val="00E42C27"/>
    <w:rsid w:val="00E474AF"/>
    <w:rsid w:val="00E648E6"/>
    <w:rsid w:val="00E70442"/>
    <w:rsid w:val="00E74402"/>
    <w:rsid w:val="00E92AAB"/>
    <w:rsid w:val="00EB2FC4"/>
    <w:rsid w:val="00EB57A3"/>
    <w:rsid w:val="00EB7BBE"/>
    <w:rsid w:val="00ED13CD"/>
    <w:rsid w:val="00EF002F"/>
    <w:rsid w:val="00EF06A2"/>
    <w:rsid w:val="00EF72AB"/>
    <w:rsid w:val="00F03A4D"/>
    <w:rsid w:val="00F06478"/>
    <w:rsid w:val="00F22CAB"/>
    <w:rsid w:val="00F94692"/>
    <w:rsid w:val="00FA023E"/>
    <w:rsid w:val="00FA6E29"/>
    <w:rsid w:val="00FB6459"/>
    <w:rsid w:val="00FC4864"/>
    <w:rsid w:val="00FC5549"/>
    <w:rsid w:val="00FD38E6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7B50-FC97-459D-9CA4-50C2C8E2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2018-05-02T14:58:00Z</cp:lastPrinted>
  <dcterms:created xsi:type="dcterms:W3CDTF">2018-05-02T15:04:00Z</dcterms:created>
  <dcterms:modified xsi:type="dcterms:W3CDTF">2018-05-02T15:04:00Z</dcterms:modified>
</cp:coreProperties>
</file>