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4AA6" w:rsidRDefault="00CB4AA6" w:rsidP="00B64A82">
      <w:pPr>
        <w:contextualSpacing/>
        <w:jc w:val="right"/>
        <w:rPr>
          <w:rFonts w:ascii="Bookman Old Style" w:hAnsi="Bookman Old Style" w:cs="Arial"/>
          <w:b/>
          <w:sz w:val="24"/>
          <w:szCs w:val="24"/>
          <w:u w:val="single"/>
          <w:lang w:val="es-ES_tradnl"/>
        </w:rPr>
      </w:pPr>
      <w:bookmarkStart w:id="0" w:name="_GoBack"/>
      <w:bookmarkEnd w:id="0"/>
      <w:r>
        <w:rPr>
          <w:rFonts w:ascii="Bookman Old Style" w:hAnsi="Bookman Old Style" w:cs="Arial"/>
          <w:b/>
          <w:sz w:val="24"/>
          <w:szCs w:val="24"/>
          <w:u w:val="single"/>
          <w:lang w:val="es-ES_tradnl"/>
        </w:rPr>
        <w:t>ORDENANZA Nº 12.169/2017.</w:t>
      </w:r>
    </w:p>
    <w:p w:rsidR="00CB4AA6" w:rsidRDefault="00CB4AA6" w:rsidP="00B64A82">
      <w:pPr>
        <w:contextualSpacing/>
        <w:jc w:val="right"/>
        <w:rPr>
          <w:rFonts w:ascii="Bookman Old Style" w:hAnsi="Bookman Old Style" w:cs="Arial"/>
          <w:b/>
          <w:sz w:val="24"/>
          <w:szCs w:val="24"/>
          <w:u w:val="single"/>
          <w:lang w:val="es-ES_tradnl"/>
        </w:rPr>
      </w:pPr>
      <w:proofErr w:type="spellStart"/>
      <w:r>
        <w:rPr>
          <w:rFonts w:ascii="Bookman Old Style" w:hAnsi="Bookman Old Style" w:cs="Arial"/>
          <w:b/>
          <w:sz w:val="24"/>
          <w:szCs w:val="24"/>
          <w:u w:val="single"/>
          <w:lang w:val="es-ES_tradnl"/>
        </w:rPr>
        <w:t>EXPTE.Nº</w:t>
      </w:r>
      <w:proofErr w:type="spellEnd"/>
      <w:r>
        <w:rPr>
          <w:rFonts w:ascii="Bookman Old Style" w:hAnsi="Bookman Old Style" w:cs="Arial"/>
          <w:b/>
          <w:sz w:val="24"/>
          <w:szCs w:val="24"/>
          <w:u w:val="single"/>
          <w:lang w:val="es-ES_tradnl"/>
        </w:rPr>
        <w:t xml:space="preserve"> 6069/2017-H.C.D.</w:t>
      </w:r>
    </w:p>
    <w:p w:rsidR="00357479" w:rsidRPr="00357479" w:rsidRDefault="00357479" w:rsidP="00B64A82">
      <w:pPr>
        <w:contextualSpacing/>
        <w:rPr>
          <w:rFonts w:ascii="Bookman Old Style" w:hAnsi="Bookman Old Style" w:cs="Arial"/>
          <w:sz w:val="24"/>
          <w:szCs w:val="24"/>
          <w:lang w:val="es-ES_tradnl"/>
        </w:rPr>
      </w:pPr>
      <w:r w:rsidRPr="00357479">
        <w:rPr>
          <w:rFonts w:ascii="Bookman Old Style" w:hAnsi="Bookman Old Style" w:cs="Arial"/>
          <w:b/>
          <w:sz w:val="24"/>
          <w:szCs w:val="24"/>
          <w:u w:val="single"/>
          <w:lang w:val="es-ES_tradnl"/>
        </w:rPr>
        <w:t>VISTO</w:t>
      </w:r>
      <w:r w:rsidRPr="00357479">
        <w:rPr>
          <w:rFonts w:ascii="Bookman Old Style" w:hAnsi="Bookman Old Style" w:cs="Arial"/>
          <w:b/>
          <w:sz w:val="24"/>
          <w:szCs w:val="24"/>
          <w:lang w:val="es-ES_tradnl"/>
        </w:rPr>
        <w:t>:</w:t>
      </w:r>
      <w:r w:rsidRPr="00357479">
        <w:rPr>
          <w:rFonts w:ascii="Bookman Old Style" w:hAnsi="Bookman Old Style" w:cs="Arial"/>
          <w:sz w:val="24"/>
          <w:szCs w:val="24"/>
          <w:lang w:val="es-ES_tradnl"/>
        </w:rPr>
        <w:t xml:space="preserve"> </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 xml:space="preserve">El Expediente Nº 6476/2017-D.E.M., caratulado: “SECRETARÍA DE HACIENDA PROYECTO DE ORDENANZA – PAVIMENTACIÓN 33 CUADRAS”; y </w:t>
      </w:r>
    </w:p>
    <w:p w:rsidR="00357479" w:rsidRPr="00357479" w:rsidRDefault="00357479" w:rsidP="00B64A82">
      <w:pPr>
        <w:contextualSpacing/>
        <w:rPr>
          <w:rFonts w:ascii="Bookman Old Style" w:hAnsi="Bookman Old Style" w:cs="Arial"/>
          <w:sz w:val="24"/>
          <w:szCs w:val="24"/>
          <w:lang w:val="es-ES_tradnl"/>
        </w:rPr>
      </w:pPr>
    </w:p>
    <w:p w:rsidR="00357479" w:rsidRPr="00357479" w:rsidRDefault="00357479" w:rsidP="00B64A82">
      <w:pPr>
        <w:contextualSpacing/>
        <w:rPr>
          <w:rFonts w:ascii="Bookman Old Style" w:hAnsi="Bookman Old Style" w:cs="Arial"/>
          <w:b/>
          <w:sz w:val="24"/>
          <w:szCs w:val="24"/>
          <w:u w:val="single"/>
          <w:lang w:val="es-ES_tradnl"/>
        </w:rPr>
      </w:pPr>
      <w:r w:rsidRPr="00357479">
        <w:rPr>
          <w:rFonts w:ascii="Bookman Old Style" w:hAnsi="Bookman Old Style" w:cs="Arial"/>
          <w:b/>
          <w:sz w:val="24"/>
          <w:szCs w:val="24"/>
          <w:u w:val="single"/>
          <w:lang w:val="es-ES_tradnl"/>
        </w:rPr>
        <w:t>CONSIDERANDO</w:t>
      </w:r>
      <w:r w:rsidRPr="00357479">
        <w:rPr>
          <w:rFonts w:ascii="Bookman Old Style" w:hAnsi="Bookman Old Style" w:cs="Arial"/>
          <w:b/>
          <w:sz w:val="24"/>
          <w:szCs w:val="24"/>
          <w:lang w:val="es-ES_tradnl"/>
        </w:rPr>
        <w:t>:</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 xml:space="preserve"> </w:t>
      </w:r>
      <w:r w:rsidRPr="00357479">
        <w:rPr>
          <w:rFonts w:ascii="Bookman Old Style" w:hAnsi="Bookman Old Style" w:cs="Arial"/>
          <w:sz w:val="24"/>
          <w:szCs w:val="24"/>
          <w:lang w:val="es-ES_tradnl"/>
        </w:rPr>
        <w:tab/>
        <w:t xml:space="preserve">Que se ha presentado ante la Subsecretaría de Coordinación de Obra Pública Federal de la Nación el Proyecto para la Pavimentación de treinta y tres (33) cuadras en los Barrios </w:t>
      </w:r>
      <w:proofErr w:type="spellStart"/>
      <w:r w:rsidRPr="00357479">
        <w:rPr>
          <w:rFonts w:ascii="Bookman Old Style" w:hAnsi="Bookman Old Style" w:cs="Arial"/>
          <w:sz w:val="24"/>
          <w:szCs w:val="24"/>
          <w:lang w:val="es-ES_tradnl"/>
        </w:rPr>
        <w:t>Vicoer</w:t>
      </w:r>
      <w:proofErr w:type="spellEnd"/>
      <w:r w:rsidRPr="00357479">
        <w:rPr>
          <w:rFonts w:ascii="Bookman Old Style" w:hAnsi="Bookman Old Style" w:cs="Arial"/>
          <w:sz w:val="24"/>
          <w:szCs w:val="24"/>
          <w:lang w:val="es-ES_tradnl"/>
        </w:rPr>
        <w:t>, Obrero, Municipal y Policial.</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Que la referida obra comprende excavación y transporte 5 kilómetros (</w:t>
      </w:r>
      <w:smartTag w:uri="urn:schemas-microsoft-com:office:smarttags" w:element="metricconverter">
        <w:smartTagPr>
          <w:attr w:name="ProductID" w:val="6.971,20 m3"/>
        </w:smartTagPr>
        <w:r w:rsidRPr="00357479">
          <w:rPr>
            <w:rFonts w:ascii="Bookman Old Style" w:hAnsi="Bookman Old Style" w:cs="Arial"/>
            <w:sz w:val="24"/>
            <w:szCs w:val="24"/>
            <w:lang w:val="es-ES_tradnl"/>
          </w:rPr>
          <w:t>6.971,20 m3)</w:t>
        </w:r>
      </w:smartTag>
      <w:r w:rsidRPr="00357479">
        <w:rPr>
          <w:rFonts w:ascii="Bookman Old Style" w:hAnsi="Bookman Old Style" w:cs="Arial"/>
          <w:sz w:val="24"/>
          <w:szCs w:val="24"/>
          <w:lang w:val="es-ES_tradnl"/>
        </w:rPr>
        <w:t xml:space="preserve"> de material, </w:t>
      </w:r>
      <w:proofErr w:type="spellStart"/>
      <w:r w:rsidRPr="00357479">
        <w:rPr>
          <w:rFonts w:ascii="Bookman Old Style" w:hAnsi="Bookman Old Style" w:cs="Arial"/>
          <w:sz w:val="24"/>
          <w:szCs w:val="24"/>
          <w:lang w:val="es-ES_tradnl"/>
        </w:rPr>
        <w:t>subrasante</w:t>
      </w:r>
      <w:proofErr w:type="spellEnd"/>
      <w:r w:rsidRPr="00357479">
        <w:rPr>
          <w:rFonts w:ascii="Bookman Old Style" w:hAnsi="Bookman Old Style" w:cs="Arial"/>
          <w:sz w:val="24"/>
          <w:szCs w:val="24"/>
          <w:lang w:val="es-ES_tradnl"/>
        </w:rPr>
        <w:t xml:space="preserve"> mejorada con cal espesor </w:t>
      </w:r>
      <w:smartTag w:uri="urn:schemas-microsoft-com:office:smarttags" w:element="metricconverter">
        <w:smartTagPr>
          <w:attr w:name="ProductID" w:val="20 cm"/>
        </w:smartTagPr>
        <w:r w:rsidRPr="00357479">
          <w:rPr>
            <w:rFonts w:ascii="Bookman Old Style" w:hAnsi="Bookman Old Style" w:cs="Arial"/>
            <w:sz w:val="24"/>
            <w:szCs w:val="24"/>
            <w:lang w:val="es-ES_tradnl"/>
          </w:rPr>
          <w:t>20 cm</w:t>
        </w:r>
      </w:smartTag>
      <w:r w:rsidRPr="00357479">
        <w:rPr>
          <w:rFonts w:ascii="Bookman Old Style" w:hAnsi="Bookman Old Style" w:cs="Arial"/>
          <w:sz w:val="24"/>
          <w:szCs w:val="24"/>
          <w:lang w:val="es-ES_tradnl"/>
        </w:rPr>
        <w:t xml:space="preserve"> (</w:t>
      </w:r>
      <w:smartTag w:uri="urn:schemas-microsoft-com:office:smarttags" w:element="metricconverter">
        <w:smartTagPr>
          <w:attr w:name="ProductID" w:val="19.364,44 m2"/>
        </w:smartTagPr>
        <w:r w:rsidRPr="00357479">
          <w:rPr>
            <w:rFonts w:ascii="Bookman Old Style" w:hAnsi="Bookman Old Style" w:cs="Arial"/>
            <w:sz w:val="24"/>
            <w:szCs w:val="24"/>
            <w:lang w:val="es-ES_tradnl"/>
          </w:rPr>
          <w:t>19.364,44 m2</w:t>
        </w:r>
      </w:smartTag>
      <w:r w:rsidRPr="00357479">
        <w:rPr>
          <w:rFonts w:ascii="Bookman Old Style" w:hAnsi="Bookman Old Style" w:cs="Arial"/>
          <w:sz w:val="24"/>
          <w:szCs w:val="24"/>
          <w:lang w:val="es-ES_tradnl"/>
        </w:rPr>
        <w:t xml:space="preserve">), sub-base suelo calcáreo de </w:t>
      </w:r>
      <w:smartTag w:uri="urn:schemas-microsoft-com:office:smarttags" w:element="metricconverter">
        <w:smartTagPr>
          <w:attr w:name="ProductID" w:val="15 cm"/>
        </w:smartTagPr>
        <w:r w:rsidRPr="00357479">
          <w:rPr>
            <w:rFonts w:ascii="Bookman Old Style" w:hAnsi="Bookman Old Style" w:cs="Arial"/>
            <w:sz w:val="24"/>
            <w:szCs w:val="24"/>
            <w:lang w:val="es-ES_tradnl"/>
          </w:rPr>
          <w:t>15 cm</w:t>
        </w:r>
      </w:smartTag>
      <w:r w:rsidRPr="00357479">
        <w:rPr>
          <w:rFonts w:ascii="Bookman Old Style" w:hAnsi="Bookman Old Style" w:cs="Arial"/>
          <w:sz w:val="24"/>
          <w:szCs w:val="24"/>
          <w:lang w:val="es-ES_tradnl"/>
        </w:rPr>
        <w:t xml:space="preserve"> de espesor (</w:t>
      </w:r>
      <w:smartTag w:uri="urn:schemas-microsoft-com:office:smarttags" w:element="metricconverter">
        <w:smartTagPr>
          <w:attr w:name="ProductID" w:val="2.807,95 m3"/>
        </w:smartTagPr>
        <w:r w:rsidRPr="00357479">
          <w:rPr>
            <w:rFonts w:ascii="Bookman Old Style" w:hAnsi="Bookman Old Style" w:cs="Arial"/>
            <w:sz w:val="24"/>
            <w:szCs w:val="24"/>
            <w:lang w:val="es-ES_tradnl"/>
          </w:rPr>
          <w:t>2.807,95 m3</w:t>
        </w:r>
      </w:smartTag>
      <w:r w:rsidRPr="00357479">
        <w:rPr>
          <w:rFonts w:ascii="Bookman Old Style" w:hAnsi="Bookman Old Style" w:cs="Arial"/>
          <w:sz w:val="24"/>
          <w:szCs w:val="24"/>
          <w:lang w:val="es-ES_tradnl"/>
        </w:rPr>
        <w:t xml:space="preserve">), base suelo calcáreo </w:t>
      </w:r>
      <w:smartTag w:uri="urn:schemas-microsoft-com:office:smarttags" w:element="metricconverter">
        <w:smartTagPr>
          <w:attr w:name="ProductID" w:val="15 cm"/>
        </w:smartTagPr>
        <w:r w:rsidRPr="00357479">
          <w:rPr>
            <w:rFonts w:ascii="Bookman Old Style" w:hAnsi="Bookman Old Style" w:cs="Arial"/>
            <w:sz w:val="24"/>
            <w:szCs w:val="24"/>
            <w:lang w:val="es-ES_tradnl"/>
          </w:rPr>
          <w:t>15 cm</w:t>
        </w:r>
      </w:smartTag>
      <w:r w:rsidRPr="00357479">
        <w:rPr>
          <w:rFonts w:ascii="Bookman Old Style" w:hAnsi="Bookman Old Style" w:cs="Arial"/>
          <w:sz w:val="24"/>
          <w:szCs w:val="24"/>
          <w:lang w:val="es-ES_tradnl"/>
        </w:rPr>
        <w:t xml:space="preserve"> de espesor (</w:t>
      </w:r>
      <w:smartTag w:uri="urn:schemas-microsoft-com:office:smarttags" w:element="metricconverter">
        <w:smartTagPr>
          <w:attr w:name="ProductID" w:val="2.710,75 m3"/>
        </w:smartTagPr>
        <w:r w:rsidRPr="00357479">
          <w:rPr>
            <w:rFonts w:ascii="Bookman Old Style" w:hAnsi="Bookman Old Style" w:cs="Arial"/>
            <w:sz w:val="24"/>
            <w:szCs w:val="24"/>
            <w:lang w:val="es-ES_tradnl"/>
          </w:rPr>
          <w:t>2.710,75 m3</w:t>
        </w:r>
      </w:smartTag>
      <w:r w:rsidRPr="00357479">
        <w:rPr>
          <w:rFonts w:ascii="Bookman Old Style" w:hAnsi="Bookman Old Style" w:cs="Arial"/>
          <w:sz w:val="24"/>
          <w:szCs w:val="24"/>
          <w:lang w:val="es-ES_tradnl"/>
        </w:rPr>
        <w:t>), riego de imprimación con material bituminoso (</w:t>
      </w:r>
      <w:smartTag w:uri="urn:schemas-microsoft-com:office:smarttags" w:element="metricconverter">
        <w:smartTagPr>
          <w:attr w:name="ProductID" w:val="14.191,00 m2"/>
        </w:smartTagPr>
        <w:r w:rsidRPr="00357479">
          <w:rPr>
            <w:rFonts w:ascii="Bookman Old Style" w:hAnsi="Bookman Old Style" w:cs="Arial"/>
            <w:sz w:val="24"/>
            <w:szCs w:val="24"/>
            <w:lang w:val="es-ES_tradnl"/>
          </w:rPr>
          <w:t>14.191,00 m2</w:t>
        </w:r>
      </w:smartTag>
      <w:r w:rsidRPr="00357479">
        <w:rPr>
          <w:rFonts w:ascii="Bookman Old Style" w:hAnsi="Bookman Old Style" w:cs="Arial"/>
          <w:sz w:val="24"/>
          <w:szCs w:val="24"/>
          <w:lang w:val="es-ES_tradnl"/>
        </w:rPr>
        <w:t>), riego de liga con emulsión catiónica (</w:t>
      </w:r>
      <w:smartTag w:uri="urn:schemas-microsoft-com:office:smarttags" w:element="metricconverter">
        <w:smartTagPr>
          <w:attr w:name="ProductID" w:val="14.191,00 m2"/>
        </w:smartTagPr>
        <w:r w:rsidRPr="00357479">
          <w:rPr>
            <w:rFonts w:ascii="Bookman Old Style" w:hAnsi="Bookman Old Style" w:cs="Arial"/>
            <w:sz w:val="24"/>
            <w:szCs w:val="24"/>
            <w:lang w:val="es-ES_tradnl"/>
          </w:rPr>
          <w:t>14.191,00 m2</w:t>
        </w:r>
      </w:smartTag>
      <w:r w:rsidRPr="00357479">
        <w:rPr>
          <w:rFonts w:ascii="Bookman Old Style" w:hAnsi="Bookman Old Style" w:cs="Arial"/>
          <w:sz w:val="24"/>
          <w:szCs w:val="24"/>
          <w:lang w:val="es-ES_tradnl"/>
        </w:rPr>
        <w:t xml:space="preserve">), carpeta de concreto asfáltico en caliente de </w:t>
      </w:r>
      <w:smartTag w:uri="urn:schemas-microsoft-com:office:smarttags" w:element="metricconverter">
        <w:smartTagPr>
          <w:attr w:name="ProductID" w:val="6 cm"/>
        </w:smartTagPr>
        <w:r w:rsidRPr="00357479">
          <w:rPr>
            <w:rFonts w:ascii="Bookman Old Style" w:hAnsi="Bookman Old Style" w:cs="Arial"/>
            <w:sz w:val="24"/>
            <w:szCs w:val="24"/>
            <w:lang w:val="es-ES_tradnl"/>
          </w:rPr>
          <w:t>6 cm</w:t>
        </w:r>
      </w:smartTag>
      <w:r w:rsidRPr="00357479">
        <w:rPr>
          <w:rFonts w:ascii="Bookman Old Style" w:hAnsi="Bookman Old Style" w:cs="Arial"/>
          <w:sz w:val="24"/>
          <w:szCs w:val="24"/>
          <w:lang w:val="es-ES_tradnl"/>
        </w:rPr>
        <w:t xml:space="preserve"> de espesor (</w:t>
      </w:r>
      <w:smartTag w:uri="urn:schemas-microsoft-com:office:smarttags" w:element="metricconverter">
        <w:smartTagPr>
          <w:attr w:name="ProductID" w:val="14.191,00 m2"/>
        </w:smartTagPr>
        <w:r w:rsidRPr="00357479">
          <w:rPr>
            <w:rFonts w:ascii="Bookman Old Style" w:hAnsi="Bookman Old Style" w:cs="Arial"/>
            <w:sz w:val="24"/>
            <w:szCs w:val="24"/>
            <w:lang w:val="es-ES_tradnl"/>
          </w:rPr>
          <w:t>14.191,00 m2</w:t>
        </w:r>
      </w:smartTag>
      <w:r w:rsidRPr="00357479">
        <w:rPr>
          <w:rFonts w:ascii="Bookman Old Style" w:hAnsi="Bookman Old Style" w:cs="Arial"/>
          <w:sz w:val="24"/>
          <w:szCs w:val="24"/>
          <w:lang w:val="es-ES_tradnl"/>
        </w:rPr>
        <w:t xml:space="preserve">), cordón cuneta, ancho </w:t>
      </w:r>
      <w:smartTag w:uri="urn:schemas-microsoft-com:office:smarttags" w:element="metricconverter">
        <w:smartTagPr>
          <w:attr w:name="ProductID" w:val="80 cm"/>
        </w:smartTagPr>
        <w:r w:rsidRPr="00357479">
          <w:rPr>
            <w:rFonts w:ascii="Bookman Old Style" w:hAnsi="Bookman Old Style" w:cs="Arial"/>
            <w:sz w:val="24"/>
            <w:szCs w:val="24"/>
            <w:lang w:val="es-ES_tradnl"/>
          </w:rPr>
          <w:t>80 cm</w:t>
        </w:r>
      </w:smartTag>
      <w:r w:rsidRPr="00357479">
        <w:rPr>
          <w:rFonts w:ascii="Bookman Old Style" w:hAnsi="Bookman Old Style" w:cs="Arial"/>
          <w:sz w:val="24"/>
          <w:szCs w:val="24"/>
          <w:lang w:val="es-ES_tradnl"/>
        </w:rPr>
        <w:t xml:space="preserve"> incluido armaduras (2.866,34 ml), badenes de </w:t>
      </w:r>
      <w:proofErr w:type="spellStart"/>
      <w:r w:rsidRPr="00357479">
        <w:rPr>
          <w:rFonts w:ascii="Bookman Old Style" w:hAnsi="Bookman Old Style" w:cs="Arial"/>
          <w:sz w:val="24"/>
          <w:szCs w:val="24"/>
          <w:lang w:val="es-ES_tradnl"/>
        </w:rPr>
        <w:t>Hº</w:t>
      </w:r>
      <w:proofErr w:type="spellEnd"/>
      <w:r w:rsidRPr="00357479">
        <w:rPr>
          <w:rFonts w:ascii="Bookman Old Style" w:hAnsi="Bookman Old Style" w:cs="Arial"/>
          <w:sz w:val="24"/>
          <w:szCs w:val="24"/>
          <w:lang w:val="es-ES_tradnl"/>
        </w:rPr>
        <w:t xml:space="preserve"> </w:t>
      </w:r>
      <w:proofErr w:type="spellStart"/>
      <w:r w:rsidRPr="00357479">
        <w:rPr>
          <w:rFonts w:ascii="Bookman Old Style" w:hAnsi="Bookman Old Style" w:cs="Arial"/>
          <w:sz w:val="24"/>
          <w:szCs w:val="24"/>
          <w:lang w:val="es-ES_tradnl"/>
        </w:rPr>
        <w:t>Aº</w:t>
      </w:r>
      <w:proofErr w:type="spellEnd"/>
      <w:r w:rsidRPr="00357479">
        <w:rPr>
          <w:rFonts w:ascii="Bookman Old Style" w:hAnsi="Bookman Old Style" w:cs="Arial"/>
          <w:sz w:val="24"/>
          <w:szCs w:val="24"/>
          <w:lang w:val="es-ES_tradnl"/>
        </w:rPr>
        <w:t xml:space="preserve"> de espesor </w:t>
      </w:r>
      <w:smartTag w:uri="urn:schemas-microsoft-com:office:smarttags" w:element="metricconverter">
        <w:smartTagPr>
          <w:attr w:name="ProductID" w:val="15 cm"/>
        </w:smartTagPr>
        <w:r w:rsidRPr="00357479">
          <w:rPr>
            <w:rFonts w:ascii="Bookman Old Style" w:hAnsi="Bookman Old Style" w:cs="Arial"/>
            <w:sz w:val="24"/>
            <w:szCs w:val="24"/>
            <w:lang w:val="es-ES_tradnl"/>
          </w:rPr>
          <w:t>15 cm</w:t>
        </w:r>
      </w:smartTag>
      <w:r w:rsidRPr="00357479">
        <w:rPr>
          <w:rFonts w:ascii="Bookman Old Style" w:hAnsi="Bookman Old Style" w:cs="Arial"/>
          <w:sz w:val="24"/>
          <w:szCs w:val="24"/>
          <w:lang w:val="es-ES_tradnl"/>
        </w:rPr>
        <w:t xml:space="preserve"> incluido armaduras (</w:t>
      </w:r>
      <w:smartTag w:uri="urn:schemas-microsoft-com:office:smarttags" w:element="metricconverter">
        <w:smartTagPr>
          <w:attr w:name="ProductID" w:val="975,00 m2"/>
        </w:smartTagPr>
        <w:r w:rsidRPr="00357479">
          <w:rPr>
            <w:rFonts w:ascii="Bookman Old Style" w:hAnsi="Bookman Old Style" w:cs="Arial"/>
            <w:sz w:val="24"/>
            <w:szCs w:val="24"/>
            <w:lang w:val="es-ES_tradnl"/>
          </w:rPr>
          <w:t>975,00 m2</w:t>
        </w:r>
      </w:smartTag>
      <w:r w:rsidRPr="00357479">
        <w:rPr>
          <w:rFonts w:ascii="Bookman Old Style" w:hAnsi="Bookman Old Style" w:cs="Arial"/>
          <w:sz w:val="24"/>
          <w:szCs w:val="24"/>
          <w:lang w:val="es-ES_tradnl"/>
        </w:rPr>
        <w:t>), obras a reparar (</w:t>
      </w:r>
      <w:smartTag w:uri="urn:schemas-microsoft-com:office:smarttags" w:element="metricconverter">
        <w:smartTagPr>
          <w:attr w:name="ProductID" w:val="234,60 m2"/>
        </w:smartTagPr>
        <w:r w:rsidRPr="00357479">
          <w:rPr>
            <w:rFonts w:ascii="Bookman Old Style" w:hAnsi="Bookman Old Style" w:cs="Arial"/>
            <w:sz w:val="24"/>
            <w:szCs w:val="24"/>
            <w:lang w:val="es-ES_tradnl"/>
          </w:rPr>
          <w:t>234,60 m2</w:t>
        </w:r>
      </w:smartTag>
      <w:r w:rsidRPr="00357479">
        <w:rPr>
          <w:rFonts w:ascii="Bookman Old Style" w:hAnsi="Bookman Old Style" w:cs="Arial"/>
          <w:sz w:val="24"/>
          <w:szCs w:val="24"/>
          <w:lang w:val="es-ES_tradnl"/>
        </w:rPr>
        <w:t>).</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 xml:space="preserve">Que el plazo para la ejecución de la obra es de ocho (8) meses, siendo el costo de la misma la suma de PESOS VEINTE MILLONES SESENTA Y NUEVE MIL TRESCIENTOS VEINTISIETE CON TREINTA Y SIETE CENTAVOS ($ 20.069.327,37) y la financiación provendrá de un Aporte del Gobierno Nacional mediante el </w:t>
      </w:r>
      <w:r w:rsidRPr="00357479">
        <w:rPr>
          <w:rFonts w:ascii="Bookman Old Style" w:hAnsi="Bookman Old Style" w:cs="Arial"/>
          <w:i/>
          <w:sz w:val="24"/>
          <w:szCs w:val="24"/>
          <w:lang w:val="es-ES_tradnl"/>
        </w:rPr>
        <w:t>“Programa de Financiamiento de Obras Viales Urbanas, Peri urbanas, Caminos de la Producción, Accesos a Pueblos y Obras de Seguridad Vial”.</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Que por el monto de la obra, la selección del contratista deberá realizarse mediante el procedimiento de Licitación Pública conforme a la Ordenanza Contable Nº 11.738/2012 y Decreto Reglamentario Nº 2482/2017.</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 xml:space="preserve">Que la Subsecretaría de Coordinación de Obra Pública Federal de la Nación, a cargo del Licenciado Ricardo DELGADO ha comunicado al Presidente Municipal al que </w:t>
      </w:r>
      <w:r w:rsidRPr="00357479">
        <w:rPr>
          <w:rFonts w:ascii="Bookman Old Style" w:hAnsi="Bookman Old Style" w:cs="Arial"/>
          <w:i/>
          <w:sz w:val="24"/>
          <w:szCs w:val="24"/>
          <w:lang w:val="es-ES_tradnl"/>
        </w:rPr>
        <w:t>“… consideramos el proyecto presentado NO OBJETABLE TÉCNICAMENTE. En consecuencia el Organismo a su cargo se encuentra en condiciones de avanzar con los trámites correspondientes a la licitación de la obra según lo solicitado…”</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lastRenderedPageBreak/>
        <w:tab/>
        <w:t>Que para comenzar el proceso de licitación pública, y dado que el Presupuesto vigente para el actual ejercicio financiero no tiene previsto el aporte y el gasto, se hace necesario realizar una modificación presupuestaria de forma tal que se autorice a realizar el llamado interesado.</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Que si bien, aún no se ha firmado el Convenio, el funcionario responsable de la confección y firma del mismo por parte del Gobierno Nacional para la autorización del aporte no reintegrable es el Licenciado Ricardo DELGADO, quien mediante nota manifiesta la no objeción técnica de la obra, indicando que el Municipio puede realizar el llamado a licitación pública.</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Que no obstante lo expresado en el párrafo precedente, a fin de mantener siempre el equilibrio presupuestario, resulta necesario que el llamado a licitación tenga como cláusula especial que cada uno de los desembolsos a cargo del Municipio al adjudicatario se realizarán una vez percibida la remesa de fondos de parte de la Subsecretaría de Coordinación de Obra Pública Federal de la Nación.</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ab/>
        <w:t xml:space="preserve">Que la obra por la cual se está realizando la presente norma representa un importante mejoramiento del hábitat para los vecinos comprendidos en los Barrios </w:t>
      </w:r>
      <w:proofErr w:type="spellStart"/>
      <w:r w:rsidRPr="00357479">
        <w:rPr>
          <w:rFonts w:ascii="Bookman Old Style" w:hAnsi="Bookman Old Style" w:cs="Arial"/>
          <w:sz w:val="24"/>
          <w:szCs w:val="24"/>
          <w:lang w:val="es-ES_tradnl"/>
        </w:rPr>
        <w:t>Vicoer</w:t>
      </w:r>
      <w:proofErr w:type="spellEnd"/>
      <w:r w:rsidRPr="00357479">
        <w:rPr>
          <w:rFonts w:ascii="Bookman Old Style" w:hAnsi="Bookman Old Style" w:cs="Arial"/>
          <w:sz w:val="24"/>
          <w:szCs w:val="24"/>
          <w:lang w:val="es-ES_tradnl"/>
        </w:rPr>
        <w:t>, Obrero, Municipal y Policial, que hace a una mejor calidad de vida los mismos.</w:t>
      </w: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sz w:val="24"/>
          <w:szCs w:val="24"/>
          <w:lang w:val="es-ES_tradnl"/>
        </w:rPr>
        <w:t>Que conforme la importancia de la obra, este Departamento Ejecutivo eleva el presente Proyecto de Ordenanza para su tratamiento al Honorable Concejo Deliberante a fin de avanzar con los trámites correspondientes a fin de concretar la realización de la obra.</w:t>
      </w:r>
    </w:p>
    <w:p w:rsidR="00357479" w:rsidRPr="00357479" w:rsidRDefault="00357479" w:rsidP="00B64A82">
      <w:pPr>
        <w:contextualSpacing/>
        <w:rPr>
          <w:rFonts w:ascii="Bookman Old Style" w:hAnsi="Bookman Old Style" w:cs="Arial"/>
          <w:sz w:val="24"/>
          <w:szCs w:val="24"/>
          <w:lang w:val="es-ES_tradnl"/>
        </w:rPr>
      </w:pPr>
    </w:p>
    <w:p w:rsidR="00357479" w:rsidRPr="00357479" w:rsidRDefault="00357479" w:rsidP="00B64A82">
      <w:pPr>
        <w:contextualSpacing/>
        <w:rPr>
          <w:rFonts w:ascii="Bookman Old Style" w:hAnsi="Bookman Old Style" w:cs="Arial"/>
          <w:b/>
          <w:sz w:val="24"/>
          <w:szCs w:val="24"/>
          <w:u w:val="single"/>
          <w:lang w:val="es-ES_tradnl"/>
        </w:rPr>
      </w:pPr>
      <w:r w:rsidRPr="00357479">
        <w:rPr>
          <w:rFonts w:ascii="Bookman Old Style" w:hAnsi="Bookman Old Style" w:cs="Arial"/>
          <w:b/>
          <w:sz w:val="24"/>
          <w:szCs w:val="24"/>
          <w:u w:val="single"/>
          <w:lang w:val="es-ES_tradnl"/>
        </w:rPr>
        <w:t>POR ELLO</w:t>
      </w:r>
    </w:p>
    <w:p w:rsidR="00357479" w:rsidRPr="00357479" w:rsidRDefault="00357479" w:rsidP="00B64A82">
      <w:pPr>
        <w:contextualSpacing/>
        <w:jc w:val="center"/>
        <w:rPr>
          <w:rFonts w:ascii="Bookman Old Style" w:hAnsi="Bookman Old Style" w:cs="Arial"/>
          <w:b/>
          <w:sz w:val="24"/>
          <w:szCs w:val="24"/>
          <w:lang w:val="es-ES_tradnl"/>
        </w:rPr>
      </w:pPr>
      <w:r w:rsidRPr="00357479">
        <w:rPr>
          <w:rFonts w:ascii="Bookman Old Style" w:hAnsi="Bookman Old Style" w:cs="Arial"/>
          <w:b/>
          <w:sz w:val="24"/>
          <w:szCs w:val="24"/>
          <w:lang w:val="es-ES_tradnl"/>
        </w:rPr>
        <w:t>EL HONORABLE CONCEJO DELIBERANTE DE LA MUNICIPALIDAD DE SAN JOSÉ DE GUALEGUAYCHÚ SANCIONA LA SIGUIENTE</w:t>
      </w:r>
    </w:p>
    <w:p w:rsidR="00357479" w:rsidRPr="00357479" w:rsidRDefault="00357479" w:rsidP="00B64A82">
      <w:pPr>
        <w:contextualSpacing/>
        <w:jc w:val="center"/>
        <w:rPr>
          <w:rFonts w:ascii="Bookman Old Style" w:hAnsi="Bookman Old Style" w:cs="Arial"/>
          <w:b/>
          <w:sz w:val="24"/>
          <w:szCs w:val="24"/>
        </w:rPr>
      </w:pPr>
      <w:r w:rsidRPr="00357479">
        <w:rPr>
          <w:rFonts w:ascii="Bookman Old Style" w:hAnsi="Bookman Old Style" w:cs="Arial"/>
          <w:b/>
          <w:sz w:val="24"/>
          <w:szCs w:val="24"/>
          <w:u w:val="single"/>
        </w:rPr>
        <w:t>ORDENANZA</w:t>
      </w:r>
    </w:p>
    <w:p w:rsidR="00357479" w:rsidRPr="00357479" w:rsidRDefault="00357479" w:rsidP="00B64A82">
      <w:pPr>
        <w:contextualSpacing/>
        <w:jc w:val="center"/>
        <w:rPr>
          <w:rFonts w:ascii="Bookman Old Style" w:hAnsi="Bookman Old Style" w:cs="Arial"/>
          <w:sz w:val="24"/>
          <w:szCs w:val="24"/>
        </w:rPr>
      </w:pP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b/>
          <w:sz w:val="24"/>
          <w:szCs w:val="24"/>
          <w:u w:val="single"/>
        </w:rPr>
        <w:t>Artículo 1º</w:t>
      </w:r>
      <w:r>
        <w:rPr>
          <w:rFonts w:ascii="Bookman Old Style" w:hAnsi="Bookman Old Style" w:cs="Arial"/>
          <w:b/>
          <w:sz w:val="24"/>
          <w:szCs w:val="24"/>
          <w:u w:val="single"/>
        </w:rPr>
        <w:t>.-</w:t>
      </w:r>
      <w:r w:rsidRPr="00357479">
        <w:rPr>
          <w:rFonts w:ascii="Bookman Old Style" w:hAnsi="Bookman Old Style" w:cs="Arial"/>
          <w:b/>
          <w:sz w:val="24"/>
          <w:szCs w:val="24"/>
        </w:rPr>
        <w:t>A</w:t>
      </w:r>
      <w:r w:rsidRPr="00357479">
        <w:rPr>
          <w:rFonts w:ascii="Bookman Old Style" w:hAnsi="Bookman Old Style" w:cs="Arial"/>
          <w:b/>
          <w:sz w:val="24"/>
          <w:szCs w:val="24"/>
          <w:lang w:val="es-ES_tradnl"/>
        </w:rPr>
        <w:t>UTORÍZASE</w:t>
      </w:r>
      <w:r w:rsidRPr="00357479">
        <w:rPr>
          <w:rFonts w:ascii="Bookman Old Style" w:hAnsi="Bookman Old Style" w:cs="Arial"/>
          <w:sz w:val="24"/>
          <w:szCs w:val="24"/>
          <w:lang w:val="es-ES_tradnl"/>
        </w:rPr>
        <w:t xml:space="preserve"> al Departamento Ejecutivo Municipal a iniciar el proceso de llamado a Licitación Pública para la realización de la obra pavimentación de treinta y tres (33) Cuadras en los Barrios </w:t>
      </w:r>
      <w:proofErr w:type="spellStart"/>
      <w:r w:rsidRPr="00357479">
        <w:rPr>
          <w:rFonts w:ascii="Bookman Old Style" w:hAnsi="Bookman Old Style" w:cs="Arial"/>
          <w:sz w:val="24"/>
          <w:szCs w:val="24"/>
          <w:lang w:val="es-ES_tradnl"/>
        </w:rPr>
        <w:t>Vicoer</w:t>
      </w:r>
      <w:proofErr w:type="spellEnd"/>
      <w:r w:rsidRPr="00357479">
        <w:rPr>
          <w:rFonts w:ascii="Bookman Old Style" w:hAnsi="Bookman Old Style" w:cs="Arial"/>
          <w:sz w:val="24"/>
          <w:szCs w:val="24"/>
          <w:lang w:val="es-ES_tradnl"/>
        </w:rPr>
        <w:t>, Obrero, Municipal y Policial</w:t>
      </w:r>
    </w:p>
    <w:p w:rsidR="00B64A82" w:rsidRDefault="00B64A82" w:rsidP="00B64A82">
      <w:pPr>
        <w:contextualSpacing/>
        <w:jc w:val="both"/>
        <w:rPr>
          <w:rFonts w:ascii="Bookman Old Style" w:hAnsi="Bookman Old Style" w:cs="Arial"/>
          <w:b/>
          <w:sz w:val="24"/>
          <w:szCs w:val="24"/>
          <w:u w:val="single"/>
          <w:lang w:val="es-ES_tradnl"/>
        </w:rPr>
      </w:pP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b/>
          <w:sz w:val="24"/>
          <w:szCs w:val="24"/>
          <w:u w:val="single"/>
          <w:lang w:val="es-ES_tradnl"/>
        </w:rPr>
        <w:t>Artículo 2º</w:t>
      </w:r>
      <w:r>
        <w:rPr>
          <w:rFonts w:ascii="Bookman Old Style" w:hAnsi="Bookman Old Style" w:cs="Arial"/>
          <w:b/>
          <w:sz w:val="24"/>
          <w:szCs w:val="24"/>
          <w:lang w:val="es-ES_tradnl"/>
        </w:rPr>
        <w:t>.-</w:t>
      </w:r>
      <w:r w:rsidRPr="00357479">
        <w:rPr>
          <w:rFonts w:ascii="Bookman Old Style" w:hAnsi="Bookman Old Style" w:cs="Arial"/>
          <w:sz w:val="24"/>
          <w:szCs w:val="24"/>
          <w:lang w:val="es-ES_tradnl"/>
        </w:rPr>
        <w:t xml:space="preserve"> I</w:t>
      </w:r>
      <w:r w:rsidRPr="00357479">
        <w:rPr>
          <w:rFonts w:ascii="Bookman Old Style" w:hAnsi="Bookman Old Style" w:cs="Arial"/>
          <w:b/>
          <w:sz w:val="24"/>
          <w:szCs w:val="24"/>
          <w:lang w:val="es-ES_tradnl"/>
        </w:rPr>
        <w:t>NCREMÉNTASE</w:t>
      </w:r>
      <w:r w:rsidRPr="00357479">
        <w:rPr>
          <w:rFonts w:ascii="Bookman Old Style" w:hAnsi="Bookman Old Style" w:cs="Arial"/>
          <w:sz w:val="24"/>
          <w:szCs w:val="24"/>
          <w:lang w:val="es-ES_tradnl"/>
        </w:rPr>
        <w:t xml:space="preserve"> el Cálculo de Recursos fijado por Ordenanza Nº 12.074/2016 y modificatorias en el Rubro: 22.2.01.33 Programa Federal de Financiamiento de Obras Urbanas, Periurbanas y Obras de Seguridad Vial en la suma de PESOS VEINTE MILLONES </w:t>
      </w:r>
      <w:r w:rsidRPr="00357479">
        <w:rPr>
          <w:rFonts w:ascii="Bookman Old Style" w:hAnsi="Bookman Old Style" w:cs="Arial"/>
          <w:sz w:val="24"/>
          <w:szCs w:val="24"/>
          <w:lang w:val="es-ES_tradnl"/>
        </w:rPr>
        <w:lastRenderedPageBreak/>
        <w:t>SESENTA Y NUEVE MIL TRESCIENTOS VEINTISIETE CON TREINTA Y SIETE CENTAVOS ($ 20.069.327,37).</w:t>
      </w:r>
    </w:p>
    <w:p w:rsidR="00357479" w:rsidRPr="00357479" w:rsidRDefault="00357479" w:rsidP="00B64A82">
      <w:pPr>
        <w:contextualSpacing/>
        <w:rPr>
          <w:rFonts w:ascii="Bookman Old Style" w:hAnsi="Bookman Old Style" w:cs="Arial"/>
          <w:sz w:val="24"/>
          <w:szCs w:val="24"/>
          <w:lang w:val="es-ES_tradnl"/>
        </w:rPr>
      </w:pP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b/>
          <w:sz w:val="24"/>
          <w:szCs w:val="24"/>
          <w:u w:val="single"/>
          <w:lang w:val="es-ES_tradnl"/>
        </w:rPr>
        <w:t>Artículo 3º</w:t>
      </w:r>
      <w:r>
        <w:rPr>
          <w:rFonts w:ascii="Bookman Old Style" w:hAnsi="Bookman Old Style" w:cs="Arial"/>
          <w:b/>
          <w:sz w:val="24"/>
          <w:szCs w:val="24"/>
          <w:lang w:val="es-ES_tradnl"/>
        </w:rPr>
        <w:t>.-</w:t>
      </w:r>
      <w:r w:rsidRPr="00357479">
        <w:rPr>
          <w:rFonts w:ascii="Bookman Old Style" w:hAnsi="Bookman Old Style" w:cs="Arial"/>
          <w:sz w:val="24"/>
          <w:szCs w:val="24"/>
          <w:lang w:val="es-ES_tradnl"/>
        </w:rPr>
        <w:t xml:space="preserve"> </w:t>
      </w:r>
      <w:r w:rsidRPr="00357479">
        <w:rPr>
          <w:rFonts w:ascii="Bookman Old Style" w:hAnsi="Bookman Old Style" w:cs="Arial"/>
          <w:b/>
          <w:sz w:val="24"/>
          <w:szCs w:val="24"/>
          <w:lang w:val="es-ES_tradnl"/>
        </w:rPr>
        <w:t>INCREMÉNTASE</w:t>
      </w:r>
      <w:r w:rsidRPr="00357479">
        <w:rPr>
          <w:rFonts w:ascii="Bookman Old Style" w:hAnsi="Bookman Old Style" w:cs="Arial"/>
          <w:sz w:val="24"/>
          <w:szCs w:val="24"/>
          <w:lang w:val="es-ES_tradnl"/>
        </w:rPr>
        <w:t xml:space="preserve"> el Presupuesto de Gastos fijado por Ordenanza Nº 12.074/2016 en la Jurisdicción: 1110108000 Trabajos Públicos; Fuente de Financiación 133 - De Origen Nacional; Categoría Programática: 50.00.00 - Vialidad; Partida 3.9.9.0 - Otros Servicios no Personales en la suma de PESOS VEINTE MILLONES SESENTA Y NUEVE MIL TRESCIENTOS VEINTISIETE CON TREINTA Y SIETE CENTAVOS ($ 20.069.327,37).</w:t>
      </w:r>
    </w:p>
    <w:p w:rsidR="00B64A82" w:rsidRDefault="00B64A82" w:rsidP="00B64A82">
      <w:pPr>
        <w:contextualSpacing/>
        <w:jc w:val="both"/>
        <w:rPr>
          <w:rFonts w:ascii="Bookman Old Style" w:hAnsi="Bookman Old Style" w:cs="Arial"/>
          <w:b/>
          <w:sz w:val="24"/>
          <w:szCs w:val="24"/>
          <w:u w:val="single"/>
          <w:lang w:val="es-ES_tradnl"/>
        </w:rPr>
      </w:pPr>
    </w:p>
    <w:p w:rsidR="00357479" w:rsidRPr="00357479"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b/>
          <w:sz w:val="24"/>
          <w:szCs w:val="24"/>
          <w:u w:val="single"/>
          <w:lang w:val="es-ES_tradnl"/>
        </w:rPr>
        <w:t>Artículo 4º</w:t>
      </w:r>
      <w:r>
        <w:rPr>
          <w:rFonts w:ascii="Bookman Old Style" w:hAnsi="Bookman Old Style" w:cs="Arial"/>
          <w:sz w:val="24"/>
          <w:szCs w:val="24"/>
          <w:lang w:val="es-ES_tradnl"/>
        </w:rPr>
        <w:t>.-</w:t>
      </w:r>
      <w:r w:rsidRPr="00357479">
        <w:rPr>
          <w:rFonts w:ascii="Bookman Old Style" w:hAnsi="Bookman Old Style" w:cs="Arial"/>
          <w:b/>
          <w:sz w:val="24"/>
          <w:szCs w:val="24"/>
          <w:lang w:val="es-ES_tradnl"/>
        </w:rPr>
        <w:t>POR</w:t>
      </w:r>
      <w:r w:rsidRPr="00357479">
        <w:rPr>
          <w:rFonts w:ascii="Bookman Old Style" w:hAnsi="Bookman Old Style" w:cs="Arial"/>
          <w:sz w:val="24"/>
          <w:szCs w:val="24"/>
          <w:lang w:val="es-ES_tradnl"/>
        </w:rPr>
        <w:t xml:space="preserve"> Secretaría de Hacienda instruméntese la modificación presupuestaria dispuesta en los artículos precedentes. Los desembolsos deberán realizarse una vez </w:t>
      </w:r>
      <w:proofErr w:type="spellStart"/>
      <w:r w:rsidRPr="00357479">
        <w:rPr>
          <w:rFonts w:ascii="Bookman Old Style" w:hAnsi="Bookman Old Style" w:cs="Arial"/>
          <w:sz w:val="24"/>
          <w:szCs w:val="24"/>
          <w:lang w:val="es-ES_tradnl"/>
        </w:rPr>
        <w:t>recepcionados</w:t>
      </w:r>
      <w:proofErr w:type="spellEnd"/>
      <w:r w:rsidRPr="00357479">
        <w:rPr>
          <w:rFonts w:ascii="Bookman Old Style" w:hAnsi="Bookman Old Style" w:cs="Arial"/>
          <w:sz w:val="24"/>
          <w:szCs w:val="24"/>
          <w:lang w:val="es-ES_tradnl"/>
        </w:rPr>
        <w:t xml:space="preserve"> los fondos desde la Subsecretaría de Coordinación de Obra Pública Federal de la Nación.</w:t>
      </w:r>
    </w:p>
    <w:p w:rsidR="00B64A82" w:rsidRDefault="00B64A82" w:rsidP="00B64A82">
      <w:pPr>
        <w:contextualSpacing/>
        <w:jc w:val="both"/>
        <w:rPr>
          <w:rFonts w:ascii="Bookman Old Style" w:hAnsi="Bookman Old Style" w:cs="Arial"/>
          <w:b/>
          <w:sz w:val="24"/>
          <w:szCs w:val="24"/>
          <w:u w:val="single"/>
          <w:lang w:val="es-ES_tradnl"/>
        </w:rPr>
      </w:pPr>
    </w:p>
    <w:p w:rsidR="00357479" w:rsidRPr="00B64A82" w:rsidRDefault="00357479" w:rsidP="00B64A82">
      <w:pPr>
        <w:contextualSpacing/>
        <w:jc w:val="both"/>
        <w:rPr>
          <w:rFonts w:ascii="Bookman Old Style" w:hAnsi="Bookman Old Style" w:cs="Arial"/>
          <w:sz w:val="24"/>
          <w:szCs w:val="24"/>
          <w:lang w:val="es-ES_tradnl"/>
        </w:rPr>
      </w:pPr>
      <w:r w:rsidRPr="00357479">
        <w:rPr>
          <w:rFonts w:ascii="Bookman Old Style" w:hAnsi="Bookman Old Style" w:cs="Arial"/>
          <w:b/>
          <w:sz w:val="24"/>
          <w:szCs w:val="24"/>
          <w:u w:val="single"/>
          <w:lang w:val="es-ES_tradnl"/>
        </w:rPr>
        <w:t>Artículo 5º</w:t>
      </w:r>
      <w:r>
        <w:rPr>
          <w:rFonts w:ascii="Bookman Old Style" w:hAnsi="Bookman Old Style" w:cs="Arial"/>
          <w:b/>
          <w:sz w:val="24"/>
          <w:szCs w:val="24"/>
          <w:u w:val="single"/>
          <w:lang w:val="es-ES_tradnl"/>
        </w:rPr>
        <w:t>.-</w:t>
      </w:r>
      <w:r w:rsidRPr="00357479">
        <w:rPr>
          <w:rFonts w:ascii="Bookman Old Style" w:hAnsi="Bookman Old Style" w:cs="Arial"/>
          <w:sz w:val="24"/>
          <w:szCs w:val="24"/>
          <w:lang w:val="es-ES_tradnl"/>
        </w:rPr>
        <w:t xml:space="preserve"> </w:t>
      </w:r>
      <w:r w:rsidRPr="00357479">
        <w:rPr>
          <w:rFonts w:ascii="Bookman Old Style" w:hAnsi="Bookman Old Style" w:cs="Arial"/>
          <w:b/>
          <w:sz w:val="24"/>
          <w:szCs w:val="24"/>
          <w:lang w:val="es-ES_tradnl"/>
        </w:rPr>
        <w:t xml:space="preserve">COMUNÍQUESE, </w:t>
      </w:r>
      <w:r w:rsidR="00B64A82" w:rsidRPr="00B64A82">
        <w:rPr>
          <w:rFonts w:ascii="Bookman Old Style" w:hAnsi="Bookman Old Style" w:cs="Arial"/>
          <w:sz w:val="24"/>
          <w:szCs w:val="24"/>
          <w:lang w:val="es-ES_tradnl"/>
        </w:rPr>
        <w:t>publíquese y archívese.</w:t>
      </w:r>
    </w:p>
    <w:p w:rsidR="004853A6" w:rsidRDefault="004853A6" w:rsidP="00B64A82">
      <w:pPr>
        <w:contextualSpacing/>
        <w:jc w:val="both"/>
        <w:rPr>
          <w:rFonts w:ascii="Bookman Old Style" w:hAnsi="Bookman Old Style" w:cs="Arial"/>
          <w:b/>
          <w:sz w:val="24"/>
          <w:szCs w:val="24"/>
          <w:lang w:val="es-ES_tradnl"/>
        </w:rPr>
      </w:pPr>
    </w:p>
    <w:p w:rsidR="00AF02A9" w:rsidRDefault="00AF02A9" w:rsidP="00B64A82">
      <w:pPr>
        <w:contextualSpacing/>
        <w:jc w:val="both"/>
        <w:rPr>
          <w:rFonts w:ascii="Bookman Old Style" w:hAnsi="Bookman Old Style" w:cs="Arial"/>
          <w:b/>
          <w:sz w:val="24"/>
          <w:szCs w:val="24"/>
          <w:lang w:val="es-ES_tradnl"/>
        </w:rPr>
      </w:pPr>
    </w:p>
    <w:p w:rsidR="00AF02A9" w:rsidRDefault="00AF02A9" w:rsidP="00B64A82">
      <w:pPr>
        <w:contextualSpacing/>
        <w:jc w:val="both"/>
        <w:rPr>
          <w:rFonts w:ascii="Bookman Old Style" w:hAnsi="Bookman Old Style" w:cs="Arial"/>
          <w:b/>
          <w:sz w:val="24"/>
          <w:szCs w:val="24"/>
          <w:lang w:val="es-ES_tradnl"/>
        </w:rPr>
      </w:pPr>
      <w:r>
        <w:rPr>
          <w:rFonts w:ascii="Bookman Old Style" w:hAnsi="Bookman Old Style" w:cs="Arial"/>
          <w:b/>
          <w:sz w:val="24"/>
          <w:szCs w:val="24"/>
          <w:lang w:val="es-ES_tradnl"/>
        </w:rPr>
        <w:t>Sala de Sesiones.</w:t>
      </w:r>
    </w:p>
    <w:p w:rsidR="00AF02A9" w:rsidRDefault="00AF02A9" w:rsidP="00B64A82">
      <w:pPr>
        <w:contextualSpacing/>
        <w:jc w:val="both"/>
        <w:rPr>
          <w:rFonts w:ascii="Bookman Old Style" w:hAnsi="Bookman Old Style" w:cs="Arial"/>
          <w:b/>
          <w:sz w:val="24"/>
          <w:szCs w:val="24"/>
          <w:lang w:val="es-ES_tradnl"/>
        </w:rPr>
      </w:pPr>
      <w:r>
        <w:rPr>
          <w:rFonts w:ascii="Bookman Old Style" w:hAnsi="Bookman Old Style" w:cs="Arial"/>
          <w:b/>
          <w:sz w:val="24"/>
          <w:szCs w:val="24"/>
          <w:lang w:val="es-ES_tradnl"/>
        </w:rPr>
        <w:t xml:space="preserve">San José de </w:t>
      </w:r>
      <w:proofErr w:type="spellStart"/>
      <w:r>
        <w:rPr>
          <w:rFonts w:ascii="Bookman Old Style" w:hAnsi="Bookman Old Style" w:cs="Arial"/>
          <w:b/>
          <w:sz w:val="24"/>
          <w:szCs w:val="24"/>
          <w:lang w:val="es-ES_tradnl"/>
        </w:rPr>
        <w:t>Gualeguaych´ñu</w:t>
      </w:r>
      <w:proofErr w:type="spellEnd"/>
      <w:r>
        <w:rPr>
          <w:rFonts w:ascii="Bookman Old Style" w:hAnsi="Bookman Old Style" w:cs="Arial"/>
          <w:b/>
          <w:sz w:val="24"/>
          <w:szCs w:val="24"/>
          <w:lang w:val="es-ES_tradnl"/>
        </w:rPr>
        <w:t>, 3 de noviembre de 2017.</w:t>
      </w:r>
    </w:p>
    <w:p w:rsidR="00AF02A9" w:rsidRDefault="00AF02A9" w:rsidP="00B64A82">
      <w:pPr>
        <w:contextualSpacing/>
        <w:jc w:val="both"/>
        <w:rPr>
          <w:rFonts w:ascii="Bookman Old Style" w:hAnsi="Bookman Old Style" w:cs="Arial"/>
          <w:b/>
          <w:sz w:val="24"/>
          <w:szCs w:val="24"/>
          <w:lang w:val="es-ES_tradnl"/>
        </w:rPr>
      </w:pPr>
      <w:r>
        <w:rPr>
          <w:rFonts w:ascii="Bookman Old Style" w:hAnsi="Bookman Old Style" w:cs="Arial"/>
          <w:b/>
          <w:sz w:val="24"/>
          <w:szCs w:val="24"/>
          <w:lang w:val="es-ES_tradnl"/>
        </w:rPr>
        <w:t xml:space="preserve">Jorge F. </w:t>
      </w:r>
      <w:proofErr w:type="spellStart"/>
      <w:r>
        <w:rPr>
          <w:rFonts w:ascii="Bookman Old Style" w:hAnsi="Bookman Old Style" w:cs="Arial"/>
          <w:b/>
          <w:sz w:val="24"/>
          <w:szCs w:val="24"/>
          <w:lang w:val="es-ES_tradnl"/>
        </w:rPr>
        <w:t>Maradey</w:t>
      </w:r>
      <w:proofErr w:type="spellEnd"/>
      <w:r>
        <w:rPr>
          <w:rFonts w:ascii="Bookman Old Style" w:hAnsi="Bookman Old Style" w:cs="Arial"/>
          <w:b/>
          <w:sz w:val="24"/>
          <w:szCs w:val="24"/>
          <w:lang w:val="es-ES_tradnl"/>
        </w:rPr>
        <w:t>, Presidente, Leandro M. Silva, Secretario.</w:t>
      </w:r>
    </w:p>
    <w:p w:rsidR="004853A6" w:rsidRDefault="004853A6" w:rsidP="00B64A82">
      <w:pPr>
        <w:contextualSpacing/>
        <w:jc w:val="both"/>
        <w:rPr>
          <w:rFonts w:ascii="Bookman Old Style" w:hAnsi="Bookman Old Style" w:cs="Arial"/>
          <w:b/>
          <w:sz w:val="24"/>
          <w:szCs w:val="24"/>
          <w:lang w:val="es-ES_tradnl"/>
        </w:rPr>
      </w:pPr>
    </w:p>
    <w:p w:rsidR="00CB4AA6" w:rsidRDefault="00CB4AA6" w:rsidP="00B64A82">
      <w:pPr>
        <w:contextualSpacing/>
        <w:jc w:val="both"/>
        <w:rPr>
          <w:rFonts w:ascii="Bookman Old Style" w:hAnsi="Bookman Old Style" w:cs="Arial"/>
          <w:b/>
          <w:sz w:val="24"/>
          <w:szCs w:val="24"/>
          <w:lang w:val="es-ES_tradnl"/>
        </w:rPr>
      </w:pPr>
    </w:p>
    <w:p w:rsidR="00CB4AA6" w:rsidRDefault="00CB4AA6" w:rsidP="00B64A82">
      <w:pPr>
        <w:contextualSpacing/>
        <w:jc w:val="both"/>
        <w:rPr>
          <w:rFonts w:ascii="Bookman Old Style" w:hAnsi="Bookman Old Style" w:cs="Arial"/>
          <w:b/>
          <w:sz w:val="24"/>
          <w:szCs w:val="24"/>
          <w:lang w:val="es-ES_tradnl"/>
        </w:rPr>
      </w:pPr>
    </w:p>
    <w:p w:rsidR="00CB4AA6" w:rsidRPr="00357479" w:rsidRDefault="00CB4AA6" w:rsidP="00B64A82">
      <w:pPr>
        <w:contextualSpacing/>
        <w:jc w:val="both"/>
        <w:rPr>
          <w:rFonts w:ascii="Bookman Old Style" w:hAnsi="Bookman Old Style" w:cs="Arial"/>
          <w:b/>
          <w:sz w:val="24"/>
          <w:szCs w:val="24"/>
          <w:lang w:val="es-ES_tradnl"/>
        </w:rPr>
      </w:pPr>
    </w:p>
    <w:p w:rsidR="00E70442" w:rsidRPr="00357479" w:rsidRDefault="00E70442" w:rsidP="00B64A82">
      <w:pPr>
        <w:rPr>
          <w:rFonts w:ascii="Bookman Old Style" w:hAnsi="Bookman Old Style"/>
          <w:b/>
          <w:sz w:val="24"/>
          <w:szCs w:val="24"/>
          <w:lang w:val="es-ES_tradnl"/>
        </w:rPr>
      </w:pPr>
    </w:p>
    <w:sectPr w:rsidR="00E70442" w:rsidRPr="00357479" w:rsidSect="00B64A82">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1C7" w:rsidRDefault="00EF01C7">
      <w:r>
        <w:separator/>
      </w:r>
    </w:p>
  </w:endnote>
  <w:endnote w:type="continuationSeparator" w:id="0">
    <w:p w:rsidR="00EF01C7" w:rsidRDefault="00EF0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6D5E2E">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D5E2E">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D5E2E">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D5E2E">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D5E2E">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D5E2E">
      <w:rPr>
        <w:rFonts w:ascii="Bookman Old Style" w:hAnsi="Bookman Old Style"/>
        <w:b/>
        <w:noProof/>
        <w:sz w:val="20"/>
        <w:szCs w:val="20"/>
      </w:rPr>
      <w:t>3</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1C7" w:rsidRDefault="00EF01C7">
      <w:r>
        <w:separator/>
      </w:r>
    </w:p>
  </w:footnote>
  <w:footnote w:type="continuationSeparator" w:id="0">
    <w:p w:rsidR="00EF01C7" w:rsidRDefault="00EF01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B64A82" w:rsidP="00B907E6">
    <w:pPr>
      <w:pStyle w:val="Encabezado"/>
      <w:pBdr>
        <w:bottom w:val="single" w:sz="6" w:space="0" w:color="auto"/>
      </w:pBdr>
      <w:rPr>
        <w:rFonts w:ascii="Bookman Old Style" w:hAnsi="Bookman Old Style"/>
        <w:sz w:val="20"/>
      </w:rPr>
    </w:pPr>
    <w:r>
      <w:rPr>
        <w:rFonts w:ascii="Bookman Old Style" w:hAnsi="Bookman Old Style"/>
        <w:sz w:val="20"/>
      </w:rPr>
      <w:t>Ordenanza Nº12.169/2017</w:t>
    </w:r>
  </w:p>
  <w:p w:rsidR="00B64A82" w:rsidRDefault="00B64A82"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B64A82" w:rsidRDefault="00B64A82" w:rsidP="00B64A82">
    <w:pPr>
      <w:pStyle w:val="Encabezado"/>
      <w:jc w:val="right"/>
      <w:rPr>
        <w:rFonts w:ascii="Bookman Old Style" w:hAnsi="Bookman Old Style"/>
        <w:sz w:val="20"/>
      </w:rPr>
    </w:pPr>
    <w:r w:rsidRPr="00B64A82">
      <w:rPr>
        <w:rFonts w:ascii="Bookman Old Style" w:hAnsi="Bookman Old Style"/>
        <w:sz w:val="20"/>
      </w:rPr>
      <w:t>Ordenanza Nº12.169/2017</w:t>
    </w:r>
  </w:p>
  <w:p w:rsidR="00E648E6" w:rsidRDefault="00E648E6" w:rsidP="00B907E6">
    <w:pPr>
      <w:pStyle w:val="Encabezado"/>
      <w:jc w:val="center"/>
    </w:pPr>
  </w:p>
  <w:p w:rsidR="00E648E6" w:rsidRDefault="00E648E6">
    <w:pPr>
      <w:pStyle w:val="Encabezado"/>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B64A82">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130E1"/>
    <w:rsid w:val="00013285"/>
    <w:rsid w:val="00016BB2"/>
    <w:rsid w:val="00042A7A"/>
    <w:rsid w:val="00055547"/>
    <w:rsid w:val="000650BE"/>
    <w:rsid w:val="00096606"/>
    <w:rsid w:val="000A27D0"/>
    <w:rsid w:val="000B1600"/>
    <w:rsid w:val="000E5CA0"/>
    <w:rsid w:val="00104463"/>
    <w:rsid w:val="00123695"/>
    <w:rsid w:val="001400AF"/>
    <w:rsid w:val="00163802"/>
    <w:rsid w:val="001878FD"/>
    <w:rsid w:val="001B33ED"/>
    <w:rsid w:val="001B6D27"/>
    <w:rsid w:val="00216F22"/>
    <w:rsid w:val="00225336"/>
    <w:rsid w:val="00230738"/>
    <w:rsid w:val="002342C4"/>
    <w:rsid w:val="002675F9"/>
    <w:rsid w:val="002975F8"/>
    <w:rsid w:val="002C7D73"/>
    <w:rsid w:val="002E4275"/>
    <w:rsid w:val="0030719C"/>
    <w:rsid w:val="00325348"/>
    <w:rsid w:val="00336864"/>
    <w:rsid w:val="00336DC8"/>
    <w:rsid w:val="00341AB4"/>
    <w:rsid w:val="0034547D"/>
    <w:rsid w:val="00357479"/>
    <w:rsid w:val="00357E64"/>
    <w:rsid w:val="00361BFC"/>
    <w:rsid w:val="0037069F"/>
    <w:rsid w:val="00386337"/>
    <w:rsid w:val="00390004"/>
    <w:rsid w:val="003E10ED"/>
    <w:rsid w:val="00405602"/>
    <w:rsid w:val="00406694"/>
    <w:rsid w:val="00410667"/>
    <w:rsid w:val="00413325"/>
    <w:rsid w:val="00455C31"/>
    <w:rsid w:val="004705F5"/>
    <w:rsid w:val="004853A6"/>
    <w:rsid w:val="004C69D5"/>
    <w:rsid w:val="004C6F2A"/>
    <w:rsid w:val="004D1D25"/>
    <w:rsid w:val="004E20C8"/>
    <w:rsid w:val="004E6870"/>
    <w:rsid w:val="0051305E"/>
    <w:rsid w:val="005146DE"/>
    <w:rsid w:val="00514F9D"/>
    <w:rsid w:val="00530669"/>
    <w:rsid w:val="0056796B"/>
    <w:rsid w:val="00582752"/>
    <w:rsid w:val="00591D5C"/>
    <w:rsid w:val="005A43B3"/>
    <w:rsid w:val="005C4D8B"/>
    <w:rsid w:val="0062026A"/>
    <w:rsid w:val="0064149F"/>
    <w:rsid w:val="0064382B"/>
    <w:rsid w:val="00661946"/>
    <w:rsid w:val="00697FBF"/>
    <w:rsid w:val="006A14AC"/>
    <w:rsid w:val="006A4D97"/>
    <w:rsid w:val="006C3985"/>
    <w:rsid w:val="006D5E2E"/>
    <w:rsid w:val="006F021A"/>
    <w:rsid w:val="006F0F2C"/>
    <w:rsid w:val="006F3E0A"/>
    <w:rsid w:val="0070153F"/>
    <w:rsid w:val="007347EA"/>
    <w:rsid w:val="00775E59"/>
    <w:rsid w:val="00795BEA"/>
    <w:rsid w:val="007D1861"/>
    <w:rsid w:val="007F7084"/>
    <w:rsid w:val="00803E6B"/>
    <w:rsid w:val="008243CE"/>
    <w:rsid w:val="0082570B"/>
    <w:rsid w:val="00843907"/>
    <w:rsid w:val="0087418B"/>
    <w:rsid w:val="00884C91"/>
    <w:rsid w:val="008A3D7B"/>
    <w:rsid w:val="008A4746"/>
    <w:rsid w:val="008C1591"/>
    <w:rsid w:val="008D6160"/>
    <w:rsid w:val="008D66F2"/>
    <w:rsid w:val="009023D7"/>
    <w:rsid w:val="00904C00"/>
    <w:rsid w:val="0092001B"/>
    <w:rsid w:val="00955EAD"/>
    <w:rsid w:val="009577BD"/>
    <w:rsid w:val="00971181"/>
    <w:rsid w:val="0099496C"/>
    <w:rsid w:val="009B7091"/>
    <w:rsid w:val="009F5121"/>
    <w:rsid w:val="00A014DB"/>
    <w:rsid w:val="00A155BA"/>
    <w:rsid w:val="00A34AC8"/>
    <w:rsid w:val="00A53A10"/>
    <w:rsid w:val="00A55A98"/>
    <w:rsid w:val="00A6059C"/>
    <w:rsid w:val="00A6468C"/>
    <w:rsid w:val="00A7439D"/>
    <w:rsid w:val="00AA7499"/>
    <w:rsid w:val="00AD1502"/>
    <w:rsid w:val="00AE2D6B"/>
    <w:rsid w:val="00AE66F7"/>
    <w:rsid w:val="00AF02A9"/>
    <w:rsid w:val="00B14AD4"/>
    <w:rsid w:val="00B6305A"/>
    <w:rsid w:val="00B64A82"/>
    <w:rsid w:val="00B7387D"/>
    <w:rsid w:val="00B81748"/>
    <w:rsid w:val="00B907E6"/>
    <w:rsid w:val="00B93400"/>
    <w:rsid w:val="00B94FC9"/>
    <w:rsid w:val="00B95136"/>
    <w:rsid w:val="00BA15B8"/>
    <w:rsid w:val="00BA4908"/>
    <w:rsid w:val="00C01CF6"/>
    <w:rsid w:val="00C1510E"/>
    <w:rsid w:val="00C2271E"/>
    <w:rsid w:val="00C274E0"/>
    <w:rsid w:val="00C40194"/>
    <w:rsid w:val="00C7615C"/>
    <w:rsid w:val="00C82A5B"/>
    <w:rsid w:val="00CB4AA6"/>
    <w:rsid w:val="00CB64C6"/>
    <w:rsid w:val="00CD2538"/>
    <w:rsid w:val="00CE6F03"/>
    <w:rsid w:val="00CF370B"/>
    <w:rsid w:val="00CF3D77"/>
    <w:rsid w:val="00D26988"/>
    <w:rsid w:val="00D45D99"/>
    <w:rsid w:val="00D51934"/>
    <w:rsid w:val="00D67928"/>
    <w:rsid w:val="00D764A5"/>
    <w:rsid w:val="00D87491"/>
    <w:rsid w:val="00DB0758"/>
    <w:rsid w:val="00DB0AAA"/>
    <w:rsid w:val="00DB0EAF"/>
    <w:rsid w:val="00DB7BD0"/>
    <w:rsid w:val="00DC77A4"/>
    <w:rsid w:val="00DC7F71"/>
    <w:rsid w:val="00DE6AEC"/>
    <w:rsid w:val="00E42C27"/>
    <w:rsid w:val="00E474AF"/>
    <w:rsid w:val="00E648E6"/>
    <w:rsid w:val="00E70442"/>
    <w:rsid w:val="00E74402"/>
    <w:rsid w:val="00E92AAB"/>
    <w:rsid w:val="00EB2FC4"/>
    <w:rsid w:val="00EB7BBE"/>
    <w:rsid w:val="00EF002F"/>
    <w:rsid w:val="00EF01C7"/>
    <w:rsid w:val="00EF06A2"/>
    <w:rsid w:val="00F03A4D"/>
    <w:rsid w:val="00F06478"/>
    <w:rsid w:val="00F22CAB"/>
    <w:rsid w:val="00F94692"/>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74A9B1-F41C-4197-A19C-D868A30FE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797</Words>
  <Characters>4388</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5175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3</cp:revision>
  <cp:lastPrinted>2017-11-09T14:56:00Z</cp:lastPrinted>
  <dcterms:created xsi:type="dcterms:W3CDTF">2017-11-09T11:25:00Z</dcterms:created>
  <dcterms:modified xsi:type="dcterms:W3CDTF">2017-11-09T14:59:00Z</dcterms:modified>
</cp:coreProperties>
</file>