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 12.109/2017.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5918/2017-H.C.D.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Decreto Ad Referéndum Nro. 278/2017, remitido por el Departamento Ejecutivo Municipal.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37069F" w:rsidRDefault="0037069F" w:rsidP="003706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37069F" w:rsidRDefault="0037069F" w:rsidP="0037069F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278/2017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37069F" w:rsidRDefault="0037069F" w:rsidP="0037069F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37069F" w:rsidRDefault="0037069F" w:rsidP="0037069F">
      <w:pPr>
        <w:jc w:val="both"/>
        <w:rPr>
          <w:rFonts w:ascii="Bookman Old Style" w:hAnsi="Bookman Old Style"/>
          <w:sz w:val="26"/>
          <w:szCs w:val="26"/>
        </w:rPr>
      </w:pPr>
    </w:p>
    <w:p w:rsidR="0037069F" w:rsidRPr="0037069F" w:rsidRDefault="0037069F" w:rsidP="0037069F">
      <w:pPr>
        <w:jc w:val="both"/>
        <w:rPr>
          <w:rFonts w:ascii="Bookman Old Style" w:hAnsi="Bookman Old Style"/>
          <w:b/>
          <w:sz w:val="26"/>
          <w:szCs w:val="26"/>
        </w:rPr>
      </w:pPr>
      <w:r w:rsidRPr="0037069F">
        <w:rPr>
          <w:rFonts w:ascii="Bookman Old Style" w:hAnsi="Bookman Old Style"/>
          <w:b/>
          <w:sz w:val="26"/>
          <w:szCs w:val="26"/>
        </w:rPr>
        <w:t>Sala de Sesiones.</w:t>
      </w:r>
    </w:p>
    <w:p w:rsidR="0037069F" w:rsidRPr="0037069F" w:rsidRDefault="0037069F" w:rsidP="0037069F">
      <w:pPr>
        <w:jc w:val="both"/>
        <w:rPr>
          <w:rFonts w:ascii="Bookman Old Style" w:hAnsi="Bookman Old Style"/>
          <w:b/>
          <w:sz w:val="26"/>
          <w:szCs w:val="26"/>
        </w:rPr>
      </w:pPr>
      <w:r w:rsidRPr="0037069F"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 w:rsidRPr="0037069F"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 w:rsidRPr="0037069F">
        <w:rPr>
          <w:rFonts w:ascii="Bookman Old Style" w:hAnsi="Bookman Old Style"/>
          <w:b/>
          <w:sz w:val="26"/>
          <w:szCs w:val="26"/>
        </w:rPr>
        <w:t>, 11 de mayo de 2017.</w:t>
      </w:r>
    </w:p>
    <w:p w:rsidR="0037069F" w:rsidRPr="0037069F" w:rsidRDefault="0037069F" w:rsidP="0037069F">
      <w:pPr>
        <w:jc w:val="both"/>
        <w:rPr>
          <w:rFonts w:ascii="Bookman Old Style" w:hAnsi="Bookman Old Style"/>
          <w:b/>
          <w:sz w:val="26"/>
          <w:szCs w:val="26"/>
        </w:rPr>
      </w:pPr>
      <w:r w:rsidRPr="0037069F"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 w:rsidRPr="0037069F">
        <w:rPr>
          <w:rFonts w:ascii="Bookman Old Style" w:hAnsi="Bookman Old Style"/>
          <w:b/>
          <w:sz w:val="26"/>
          <w:szCs w:val="26"/>
        </w:rPr>
        <w:t>Maradey</w:t>
      </w:r>
      <w:proofErr w:type="spellEnd"/>
      <w:r w:rsidRPr="0037069F">
        <w:rPr>
          <w:rFonts w:ascii="Bookman Old Style" w:hAnsi="Bookman Old Style"/>
          <w:b/>
          <w:sz w:val="26"/>
          <w:szCs w:val="26"/>
        </w:rPr>
        <w:t>, Presidente – Leandro M. Silva Secretario.</w:t>
      </w:r>
    </w:p>
    <w:p w:rsidR="0037069F" w:rsidRDefault="0037069F" w:rsidP="0037069F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37069F" w:rsidRDefault="0037069F" w:rsidP="0037069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</w:t>
      </w:r>
    </w:p>
    <w:p w:rsidR="0037069F" w:rsidRDefault="0037069F" w:rsidP="0037069F">
      <w:r>
        <w:t xml:space="preserve"> </w:t>
      </w:r>
    </w:p>
    <w:p w:rsidR="0037069F" w:rsidRDefault="0037069F" w:rsidP="0037069F">
      <w:pPr>
        <w:rPr>
          <w:rFonts w:ascii="Bookman Old Style" w:hAnsi="Bookman Old Style"/>
          <w:color w:val="000080"/>
          <w:sz w:val="24"/>
        </w:rPr>
      </w:pPr>
    </w:p>
    <w:p w:rsidR="0037069F" w:rsidRDefault="0037069F" w:rsidP="0037069F">
      <w:pPr>
        <w:rPr>
          <w:rFonts w:ascii="Bookman Old Style" w:hAnsi="Bookman Old Style"/>
          <w:color w:val="000080"/>
          <w:sz w:val="24"/>
        </w:rPr>
      </w:pPr>
    </w:p>
    <w:p w:rsidR="0037069F" w:rsidRDefault="0037069F" w:rsidP="0037069F">
      <w:pPr>
        <w:rPr>
          <w:rFonts w:ascii="Bookman Old Style" w:hAnsi="Bookman Old Style"/>
          <w:color w:val="000080"/>
          <w:sz w:val="24"/>
        </w:rPr>
      </w:pPr>
    </w:p>
    <w:p w:rsidR="0037069F" w:rsidRDefault="0037069F" w:rsidP="0037069F">
      <w:pPr>
        <w:rPr>
          <w:rFonts w:ascii="Bookman Old Style" w:hAnsi="Bookman Old Style"/>
          <w:color w:val="000080"/>
          <w:sz w:val="24"/>
        </w:rPr>
      </w:pPr>
    </w:p>
    <w:p w:rsidR="0037069F" w:rsidRPr="00244F8B" w:rsidRDefault="0037069F" w:rsidP="0037069F">
      <w:pPr>
        <w:jc w:val="right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  <w:u w:val="single"/>
        </w:rPr>
        <w:t>DECRETO Nº 278/2017</w:t>
      </w:r>
      <w:r w:rsidRPr="00244F8B">
        <w:rPr>
          <w:rFonts w:ascii="Arial" w:hAnsi="Arial" w:cs="Arial"/>
          <w:sz w:val="20"/>
          <w:szCs w:val="20"/>
        </w:rPr>
        <w:t>.</w:t>
      </w:r>
    </w:p>
    <w:p w:rsidR="0037069F" w:rsidRPr="00244F8B" w:rsidRDefault="0037069F" w:rsidP="0037069F">
      <w:pPr>
        <w:jc w:val="right"/>
        <w:rPr>
          <w:rFonts w:ascii="Arial" w:hAnsi="Arial" w:cs="Arial"/>
          <w:sz w:val="20"/>
          <w:szCs w:val="20"/>
          <w:u w:val="single"/>
        </w:rPr>
      </w:pPr>
      <w:r w:rsidRPr="00244F8B">
        <w:rPr>
          <w:rFonts w:ascii="Arial" w:hAnsi="Arial" w:cs="Arial"/>
          <w:sz w:val="20"/>
          <w:szCs w:val="20"/>
        </w:rPr>
        <w:t>SAN JOSÉ DE GUALEGUAYCHÚ, 1ºde febrero de 2017</w:t>
      </w:r>
    </w:p>
    <w:p w:rsidR="0037069F" w:rsidRPr="00244F8B" w:rsidRDefault="0037069F" w:rsidP="0037069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Cs/>
          <w:sz w:val="20"/>
          <w:szCs w:val="20"/>
        </w:rPr>
        <w:t>VISTO:</w:t>
      </w:r>
      <w:r w:rsidRPr="00244F8B">
        <w:rPr>
          <w:rFonts w:ascii="Arial" w:hAnsi="Arial" w:cs="Arial"/>
          <w:sz w:val="20"/>
          <w:szCs w:val="20"/>
        </w:rPr>
        <w:t xml:space="preserve"> La Ordenanza Nº 12.074/2016 que aprueba el Cálculo de Recursos y el Presupuesto de Gastos para el Año 2017; y</w:t>
      </w: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/>
          <w:bCs/>
          <w:sz w:val="20"/>
          <w:szCs w:val="20"/>
        </w:rPr>
        <w:t>CONSIDERANDO:</w:t>
      </w: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sz w:val="20"/>
          <w:szCs w:val="20"/>
        </w:rPr>
        <w:t>Que la operatoria de las distintas áreas hace necesario efectuar transferencias compensatorias de las partidas presupuestarias de gastos, sin que ello implique modificación en el Presupuesto total aprobado.</w:t>
      </w: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sz w:val="20"/>
          <w:szCs w:val="20"/>
        </w:rPr>
        <w:t>Que el Ministerio de Desarrollo de la Provincia ha actualizado los valores asignados para los comedores infantiles.</w:t>
      </w: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sz w:val="20"/>
          <w:szCs w:val="20"/>
        </w:rPr>
        <w:t xml:space="preserve">Que por Ordenanza Nº 12.047/2016 se aprobó un empréstito público con la Caja Municipal de Jubilaciones, Pensiones y Retiros de </w:t>
      </w:r>
      <w:proofErr w:type="spellStart"/>
      <w:r w:rsidRPr="00244F8B">
        <w:rPr>
          <w:rFonts w:ascii="Arial" w:hAnsi="Arial" w:cs="Arial"/>
          <w:sz w:val="20"/>
          <w:szCs w:val="20"/>
        </w:rPr>
        <w:t>Gualeguaychú</w:t>
      </w:r>
      <w:proofErr w:type="spellEnd"/>
      <w:r w:rsidRPr="00244F8B">
        <w:rPr>
          <w:rFonts w:ascii="Arial" w:hAnsi="Arial" w:cs="Arial"/>
          <w:sz w:val="20"/>
          <w:szCs w:val="20"/>
        </w:rPr>
        <w:t xml:space="preserve"> por la suma de PESOS DIEZ MILLONES ($ 10.000.000,00) con destino a la adquisición de bienes de capital.</w:t>
      </w:r>
    </w:p>
    <w:p w:rsidR="0037069F" w:rsidRPr="00244F8B" w:rsidRDefault="0037069F" w:rsidP="003706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sz w:val="20"/>
          <w:szCs w:val="20"/>
        </w:rPr>
        <w:t>Que en el ejercicio 2016 solo se contrató la suma de PESOS OCHO MILLONES CUARENTA Y DOS MIL NOVECIENTOS TREINTA Y CINCO ($ 8.042.935,00), quedando pendiente de ejecutar la suma de PESOS UN MILLÓN NOVECIENTOS CINCUENTA Y SIETE MIL SESENTA Y CINCO ($ 1.957.065,00).</w:t>
      </w:r>
    </w:p>
    <w:p w:rsidR="0037069F" w:rsidRPr="00244F8B" w:rsidRDefault="0037069F" w:rsidP="0037069F">
      <w:pPr>
        <w:pStyle w:val="Textoindependiente"/>
        <w:ind w:firstLine="708"/>
        <w:rPr>
          <w:rFonts w:ascii="Arial" w:hAnsi="Arial" w:cs="Arial"/>
          <w:sz w:val="20"/>
        </w:rPr>
      </w:pPr>
      <w:r w:rsidRPr="00244F8B">
        <w:rPr>
          <w:rFonts w:ascii="Arial" w:hAnsi="Arial" w:cs="Arial"/>
          <w:sz w:val="20"/>
        </w:rPr>
        <w:t>Por ello, y en uso de las atribuciones expresamente conferidas por el artículo 107º de la Ley Nº 10.027,</w:t>
      </w:r>
    </w:p>
    <w:p w:rsidR="0037069F" w:rsidRPr="00244F8B" w:rsidRDefault="0037069F" w:rsidP="0037069F">
      <w:pPr>
        <w:pStyle w:val="Textoindependiente"/>
        <w:rPr>
          <w:rFonts w:ascii="Arial" w:hAnsi="Arial" w:cs="Arial"/>
          <w:sz w:val="20"/>
        </w:rPr>
      </w:pPr>
    </w:p>
    <w:p w:rsidR="0037069F" w:rsidRPr="00244F8B" w:rsidRDefault="0037069F" w:rsidP="0037069F">
      <w:pPr>
        <w:keepNext/>
        <w:widowControl w:val="0"/>
        <w:jc w:val="center"/>
        <w:outlineLvl w:val="0"/>
        <w:rPr>
          <w:rFonts w:ascii="Arial" w:hAnsi="Arial" w:cs="Arial"/>
          <w:sz w:val="20"/>
          <w:szCs w:val="20"/>
          <w:lang w:val="es-ES_tradnl"/>
        </w:rPr>
      </w:pPr>
      <w:r w:rsidRPr="00244F8B">
        <w:rPr>
          <w:rFonts w:ascii="Arial" w:hAnsi="Arial" w:cs="Arial"/>
          <w:sz w:val="20"/>
          <w:szCs w:val="20"/>
          <w:lang w:val="es-ES_tradnl"/>
        </w:rPr>
        <w:t>EL PRESIDENTE DE LA MUNICIPALIDAD DE SAN JOSE DE GUALEGUAYCHU</w:t>
      </w:r>
    </w:p>
    <w:p w:rsidR="0037069F" w:rsidRPr="00244F8B" w:rsidRDefault="0037069F" w:rsidP="0037069F">
      <w:pPr>
        <w:pStyle w:val="Ttulo1"/>
        <w:ind w:firstLine="709"/>
        <w:rPr>
          <w:rFonts w:ascii="Arial" w:hAnsi="Arial" w:cs="Arial"/>
          <w:b w:val="0"/>
          <w:sz w:val="20"/>
          <w:szCs w:val="20"/>
          <w:lang w:val="es-ES_tradnl"/>
        </w:rPr>
      </w:pPr>
      <w:r w:rsidRPr="00244F8B">
        <w:rPr>
          <w:rFonts w:ascii="Arial" w:hAnsi="Arial" w:cs="Arial"/>
          <w:b w:val="0"/>
          <w:sz w:val="20"/>
          <w:szCs w:val="20"/>
          <w:lang w:val="es-ES_tradnl"/>
        </w:rPr>
        <w:t>AD-REFERENDUM DEL HONORABLE CONCEJO DELIBERANTE</w:t>
      </w:r>
    </w:p>
    <w:p w:rsidR="0037069F" w:rsidRPr="00244F8B" w:rsidRDefault="0037069F" w:rsidP="003706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44F8B">
        <w:rPr>
          <w:rFonts w:ascii="Arial" w:hAnsi="Arial" w:cs="Arial"/>
          <w:sz w:val="20"/>
          <w:szCs w:val="20"/>
          <w:u w:val="single"/>
        </w:rPr>
        <w:t>DECRETA: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bCs/>
          <w:sz w:val="20"/>
          <w:szCs w:val="20"/>
        </w:rPr>
        <w:t xml:space="preserve">ARTÍCULO 1º.- </w:t>
      </w:r>
      <w:r w:rsidRPr="00244F8B">
        <w:rPr>
          <w:rFonts w:ascii="Arial" w:hAnsi="Arial" w:cs="Arial"/>
          <w:b/>
          <w:sz w:val="20"/>
          <w:szCs w:val="20"/>
        </w:rPr>
        <w:t xml:space="preserve">MODIFÍCASE </w:t>
      </w:r>
      <w:r w:rsidRPr="00244F8B">
        <w:rPr>
          <w:rFonts w:ascii="Arial" w:hAnsi="Arial" w:cs="Arial"/>
          <w:sz w:val="20"/>
          <w:szCs w:val="20"/>
        </w:rPr>
        <w:t xml:space="preserve">el Cálculo de Recursos vigente, fijado por Ordenanza Nº 12.074/2016, incrementando el rubro </w:t>
      </w:r>
      <w:r w:rsidRPr="00244F8B">
        <w:rPr>
          <w:rFonts w:ascii="Arial" w:hAnsi="Arial" w:cs="Arial"/>
          <w:b/>
          <w:sz w:val="20"/>
          <w:szCs w:val="20"/>
        </w:rPr>
        <w:t>1750000 Transferencias corrientes de gobiernos e instituciones provinciales y municipales - 17.5.01.01</w:t>
      </w:r>
      <w:r w:rsidRPr="00244F8B">
        <w:rPr>
          <w:rFonts w:ascii="Arial" w:hAnsi="Arial" w:cs="Arial"/>
          <w:sz w:val="20"/>
          <w:szCs w:val="20"/>
        </w:rPr>
        <w:t xml:space="preserve"> </w:t>
      </w:r>
      <w:r w:rsidRPr="00244F8B">
        <w:rPr>
          <w:rFonts w:ascii="Arial" w:hAnsi="Arial" w:cs="Arial"/>
          <w:b/>
          <w:sz w:val="20"/>
          <w:szCs w:val="20"/>
        </w:rPr>
        <w:t xml:space="preserve">Racionamiento Comedores </w:t>
      </w:r>
      <w:r w:rsidRPr="00244F8B">
        <w:rPr>
          <w:rFonts w:ascii="Arial" w:hAnsi="Arial" w:cs="Arial"/>
          <w:sz w:val="20"/>
          <w:szCs w:val="20"/>
        </w:rPr>
        <w:t>en la suma de PESOS CINCUENTA MIL ($ 50.000,00).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 xml:space="preserve">ARTÍCULO 2º.- MODIFÍCASE </w:t>
      </w:r>
      <w:r w:rsidRPr="00244F8B">
        <w:rPr>
          <w:rFonts w:ascii="Arial" w:hAnsi="Arial" w:cs="Arial"/>
          <w:sz w:val="20"/>
          <w:szCs w:val="20"/>
        </w:rPr>
        <w:t xml:space="preserve">el Presupuesto de Gastos vigente, fijado por Ordenanza Nº 12.074/2016, incrementando la partida </w:t>
      </w:r>
      <w:r w:rsidRPr="00244F8B">
        <w:rPr>
          <w:rFonts w:ascii="Arial" w:hAnsi="Arial" w:cs="Arial"/>
          <w:b/>
          <w:sz w:val="20"/>
          <w:szCs w:val="20"/>
        </w:rPr>
        <w:t>Transferencias</w:t>
      </w:r>
      <w:r w:rsidRPr="00244F8B">
        <w:rPr>
          <w:rFonts w:ascii="Arial" w:hAnsi="Arial" w:cs="Arial"/>
          <w:sz w:val="20"/>
          <w:szCs w:val="20"/>
        </w:rPr>
        <w:t xml:space="preserve"> en la suma de PESOS CINCUENTA MIL ($ 50.000,00) de la Apertura Programática </w:t>
      </w:r>
      <w:r w:rsidRPr="00244F8B">
        <w:rPr>
          <w:rFonts w:ascii="Arial" w:hAnsi="Arial" w:cs="Arial"/>
          <w:b/>
          <w:sz w:val="20"/>
          <w:szCs w:val="20"/>
        </w:rPr>
        <w:t xml:space="preserve">28.00.00 Dirección de Desarrollo Humano </w:t>
      </w:r>
      <w:r w:rsidRPr="00244F8B">
        <w:rPr>
          <w:rFonts w:ascii="Arial" w:hAnsi="Arial" w:cs="Arial"/>
          <w:sz w:val="20"/>
          <w:szCs w:val="20"/>
        </w:rPr>
        <w:t xml:space="preserve">de la Jurisdicción </w:t>
      </w:r>
      <w:r w:rsidRPr="00244F8B">
        <w:rPr>
          <w:rFonts w:ascii="Arial" w:hAnsi="Arial" w:cs="Arial"/>
          <w:b/>
          <w:sz w:val="20"/>
          <w:szCs w:val="20"/>
        </w:rPr>
        <w:t>1110104000 Secretaría de Desarrollo Social</w:t>
      </w:r>
      <w:r w:rsidRPr="00244F8B">
        <w:rPr>
          <w:rFonts w:ascii="Arial" w:hAnsi="Arial" w:cs="Arial"/>
          <w:sz w:val="20"/>
          <w:szCs w:val="20"/>
        </w:rPr>
        <w:t>.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 xml:space="preserve">ARTÍCULO 3º.- MODIFÍCASE </w:t>
      </w:r>
      <w:r w:rsidRPr="00244F8B">
        <w:rPr>
          <w:rFonts w:ascii="Arial" w:hAnsi="Arial" w:cs="Arial"/>
          <w:sz w:val="20"/>
          <w:szCs w:val="20"/>
        </w:rPr>
        <w:t xml:space="preserve">el Cálculo de Recursos vigente, fijado por Ordenanza Nº 12.074/2016, incrementando el rubro </w:t>
      </w:r>
      <w:r w:rsidRPr="00244F8B">
        <w:rPr>
          <w:rFonts w:ascii="Arial" w:hAnsi="Arial" w:cs="Arial"/>
          <w:b/>
          <w:sz w:val="20"/>
          <w:szCs w:val="20"/>
        </w:rPr>
        <w:t>375000 Obtención de Préstamos – 37.5.02.00</w:t>
      </w:r>
      <w:r w:rsidRPr="00244F8B">
        <w:rPr>
          <w:rFonts w:ascii="Arial" w:hAnsi="Arial" w:cs="Arial"/>
          <w:sz w:val="20"/>
          <w:szCs w:val="20"/>
        </w:rPr>
        <w:t xml:space="preserve"> </w:t>
      </w:r>
      <w:r w:rsidRPr="00244F8B">
        <w:rPr>
          <w:rFonts w:ascii="Arial" w:hAnsi="Arial" w:cs="Arial"/>
          <w:b/>
          <w:sz w:val="20"/>
          <w:szCs w:val="20"/>
        </w:rPr>
        <w:t>De provincias y municipalidades a largo plazo</w:t>
      </w:r>
      <w:r w:rsidRPr="00244F8B">
        <w:rPr>
          <w:rFonts w:ascii="Arial" w:hAnsi="Arial" w:cs="Arial"/>
          <w:sz w:val="20"/>
          <w:szCs w:val="20"/>
        </w:rPr>
        <w:t xml:space="preserve"> en la suma de PESOS UN MILLÓN NOVECIENTOS CINCUENTA Y SIETE MIL SESENTA Y CINCO ($ 1.957.065,00).</w:t>
      </w:r>
    </w:p>
    <w:p w:rsidR="0037069F" w:rsidRPr="00244F8B" w:rsidRDefault="0037069F" w:rsidP="0037069F">
      <w:pPr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lastRenderedPageBreak/>
        <w:t xml:space="preserve">ARTÍCULO 4º.- MODIFÍCASE </w:t>
      </w:r>
      <w:r w:rsidRPr="00244F8B">
        <w:rPr>
          <w:rFonts w:ascii="Arial" w:hAnsi="Arial" w:cs="Arial"/>
          <w:sz w:val="20"/>
          <w:szCs w:val="20"/>
        </w:rPr>
        <w:t xml:space="preserve">el Presupuesto de Gastos vigente, fijado por Ordenanza Nº 12.074/2016, incrementando dentro de la partida </w:t>
      </w:r>
      <w:r w:rsidRPr="00244F8B">
        <w:rPr>
          <w:rFonts w:ascii="Arial" w:hAnsi="Arial" w:cs="Arial"/>
          <w:b/>
          <w:sz w:val="20"/>
          <w:szCs w:val="20"/>
        </w:rPr>
        <w:t xml:space="preserve">Bienes de Uso </w:t>
      </w:r>
      <w:r w:rsidRPr="00244F8B">
        <w:rPr>
          <w:rFonts w:ascii="Arial" w:hAnsi="Arial" w:cs="Arial"/>
          <w:sz w:val="20"/>
          <w:szCs w:val="20"/>
        </w:rPr>
        <w:t xml:space="preserve">la suma de PESOS UN MILLÓN CIENTO TREINTA MIL ($ 1.130.000,00) en la Apertura Programática </w:t>
      </w:r>
      <w:r w:rsidRPr="00244F8B">
        <w:rPr>
          <w:rFonts w:ascii="Arial" w:hAnsi="Arial" w:cs="Arial"/>
          <w:b/>
          <w:sz w:val="20"/>
          <w:szCs w:val="20"/>
        </w:rPr>
        <w:t xml:space="preserve">40.00.00 Dirección de Mantenimiento Vial </w:t>
      </w:r>
      <w:r w:rsidRPr="00244F8B">
        <w:rPr>
          <w:rFonts w:ascii="Arial" w:hAnsi="Arial" w:cs="Arial"/>
          <w:sz w:val="20"/>
          <w:szCs w:val="20"/>
        </w:rPr>
        <w:t xml:space="preserve">de la Jurisdicción </w:t>
      </w:r>
      <w:r w:rsidRPr="00244F8B">
        <w:rPr>
          <w:rFonts w:ascii="Arial" w:hAnsi="Arial" w:cs="Arial"/>
          <w:b/>
          <w:sz w:val="20"/>
          <w:szCs w:val="20"/>
        </w:rPr>
        <w:t xml:space="preserve">1110114000 Secretaría de Obras y Servicios Públicos </w:t>
      </w:r>
      <w:r w:rsidRPr="00244F8B">
        <w:rPr>
          <w:rFonts w:ascii="Arial" w:hAnsi="Arial" w:cs="Arial"/>
          <w:sz w:val="20"/>
          <w:szCs w:val="20"/>
        </w:rPr>
        <w:t>y la suma de PESOS OCHOCIENTOS VEINTISIETE MIL SESENTA Y CINCO ($ 827.065,00) en la Apertura Programática</w:t>
      </w:r>
      <w:r w:rsidRPr="00244F8B">
        <w:rPr>
          <w:rFonts w:ascii="Arial" w:hAnsi="Arial" w:cs="Arial"/>
          <w:b/>
          <w:sz w:val="20"/>
          <w:szCs w:val="20"/>
        </w:rPr>
        <w:t xml:space="preserve"> 43.00.00 Dirección de Viviendas </w:t>
      </w:r>
      <w:r w:rsidRPr="00244F8B">
        <w:rPr>
          <w:rFonts w:ascii="Arial" w:hAnsi="Arial" w:cs="Arial"/>
          <w:sz w:val="20"/>
          <w:szCs w:val="20"/>
        </w:rPr>
        <w:t>de la Jurisdicción</w:t>
      </w:r>
      <w:r w:rsidRPr="00244F8B">
        <w:rPr>
          <w:rFonts w:ascii="Arial" w:hAnsi="Arial" w:cs="Arial"/>
          <w:b/>
          <w:sz w:val="20"/>
          <w:szCs w:val="20"/>
        </w:rPr>
        <w:t xml:space="preserve"> 1110117000 Secretaría del Hábitat.</w:t>
      </w:r>
    </w:p>
    <w:p w:rsidR="0037069F" w:rsidRPr="00244F8B" w:rsidRDefault="0037069F" w:rsidP="0037069F">
      <w:pPr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>ARTÍCULO 5º.- TRANSFIÉRASE</w:t>
      </w:r>
      <w:r w:rsidRPr="00244F8B">
        <w:rPr>
          <w:rFonts w:ascii="Arial" w:hAnsi="Arial" w:cs="Arial"/>
          <w:sz w:val="20"/>
          <w:szCs w:val="20"/>
        </w:rPr>
        <w:t xml:space="preserve"> dentro de la Jurisdicción </w:t>
      </w:r>
      <w:r w:rsidRPr="00244F8B">
        <w:rPr>
          <w:rFonts w:ascii="Arial" w:hAnsi="Arial" w:cs="Arial"/>
          <w:b/>
          <w:sz w:val="20"/>
          <w:szCs w:val="20"/>
        </w:rPr>
        <w:t>1110104000 Secretaría de Desarrollo Social</w:t>
      </w:r>
      <w:r w:rsidRPr="00244F8B">
        <w:rPr>
          <w:rFonts w:ascii="Arial" w:hAnsi="Arial" w:cs="Arial"/>
          <w:sz w:val="20"/>
          <w:szCs w:val="20"/>
        </w:rPr>
        <w:t xml:space="preserve"> y de la partida</w:t>
      </w:r>
      <w:r w:rsidRPr="00244F8B">
        <w:rPr>
          <w:rFonts w:ascii="Arial" w:hAnsi="Arial" w:cs="Arial"/>
          <w:b/>
          <w:sz w:val="20"/>
          <w:szCs w:val="20"/>
        </w:rPr>
        <w:t xml:space="preserve"> Bienes de Uso,</w:t>
      </w:r>
      <w:r w:rsidRPr="00244F8B">
        <w:rPr>
          <w:rFonts w:ascii="Arial" w:hAnsi="Arial" w:cs="Arial"/>
          <w:sz w:val="20"/>
          <w:szCs w:val="20"/>
        </w:rPr>
        <w:t xml:space="preserve"> de la Apertura Programática </w:t>
      </w:r>
      <w:r w:rsidRPr="00244F8B">
        <w:rPr>
          <w:rFonts w:ascii="Arial" w:hAnsi="Arial" w:cs="Arial"/>
          <w:b/>
          <w:sz w:val="20"/>
          <w:szCs w:val="20"/>
        </w:rPr>
        <w:t xml:space="preserve">01.00.00 Conducción Ejecutiva Desarrollo Social </w:t>
      </w:r>
      <w:r w:rsidRPr="00244F8B">
        <w:rPr>
          <w:rFonts w:ascii="Arial" w:hAnsi="Arial" w:cs="Arial"/>
          <w:sz w:val="20"/>
          <w:szCs w:val="20"/>
        </w:rPr>
        <w:t xml:space="preserve">a la Apertura Programática </w:t>
      </w:r>
      <w:r w:rsidRPr="00244F8B">
        <w:rPr>
          <w:rFonts w:ascii="Arial" w:hAnsi="Arial" w:cs="Arial"/>
          <w:b/>
          <w:sz w:val="20"/>
          <w:szCs w:val="20"/>
        </w:rPr>
        <w:t xml:space="preserve">28.00.00. Dirección de Desarrollo Humano </w:t>
      </w:r>
      <w:r w:rsidRPr="00244F8B">
        <w:rPr>
          <w:rFonts w:ascii="Arial" w:hAnsi="Arial" w:cs="Arial"/>
          <w:sz w:val="20"/>
          <w:szCs w:val="20"/>
        </w:rPr>
        <w:t>la suma de PESOS DIECIOCHO MIL ($ 18.000,00).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>ARTÍCULO 6º.- TRANSFIÉRASE</w:t>
      </w:r>
      <w:r w:rsidRPr="00244F8B">
        <w:rPr>
          <w:rFonts w:ascii="Arial" w:hAnsi="Arial" w:cs="Arial"/>
          <w:sz w:val="20"/>
          <w:szCs w:val="20"/>
        </w:rPr>
        <w:t xml:space="preserve"> dentro de la Jurisdicción </w:t>
      </w:r>
      <w:r w:rsidRPr="00244F8B">
        <w:rPr>
          <w:rFonts w:ascii="Arial" w:hAnsi="Arial" w:cs="Arial"/>
          <w:b/>
          <w:sz w:val="20"/>
          <w:szCs w:val="20"/>
        </w:rPr>
        <w:t xml:space="preserve">1110116000 Participación Ciudadana </w:t>
      </w:r>
      <w:r w:rsidRPr="00244F8B">
        <w:rPr>
          <w:rFonts w:ascii="Arial" w:hAnsi="Arial" w:cs="Arial"/>
          <w:sz w:val="20"/>
          <w:szCs w:val="20"/>
        </w:rPr>
        <w:t>y de la Apertura Programática</w:t>
      </w:r>
      <w:r w:rsidRPr="00244F8B">
        <w:rPr>
          <w:rFonts w:ascii="Arial" w:hAnsi="Arial" w:cs="Arial"/>
          <w:b/>
          <w:sz w:val="20"/>
          <w:szCs w:val="20"/>
        </w:rPr>
        <w:t xml:space="preserve"> 48.00.00 Presupuesto Participativo Municipal, </w:t>
      </w:r>
      <w:r w:rsidRPr="00244F8B">
        <w:rPr>
          <w:rFonts w:ascii="Arial" w:hAnsi="Arial" w:cs="Arial"/>
          <w:sz w:val="20"/>
          <w:szCs w:val="20"/>
        </w:rPr>
        <w:t xml:space="preserve">de la partida </w:t>
      </w:r>
      <w:r w:rsidRPr="00244F8B">
        <w:rPr>
          <w:rFonts w:ascii="Arial" w:hAnsi="Arial" w:cs="Arial"/>
          <w:b/>
          <w:sz w:val="20"/>
          <w:szCs w:val="20"/>
        </w:rPr>
        <w:t xml:space="preserve">Bienes de Consumo </w:t>
      </w:r>
      <w:r w:rsidRPr="00244F8B">
        <w:rPr>
          <w:rFonts w:ascii="Arial" w:hAnsi="Arial" w:cs="Arial"/>
          <w:sz w:val="20"/>
          <w:szCs w:val="20"/>
        </w:rPr>
        <w:t xml:space="preserve">a la partida </w:t>
      </w:r>
      <w:r w:rsidRPr="00244F8B">
        <w:rPr>
          <w:rFonts w:ascii="Arial" w:hAnsi="Arial" w:cs="Arial"/>
          <w:b/>
          <w:sz w:val="20"/>
          <w:szCs w:val="20"/>
        </w:rPr>
        <w:t xml:space="preserve">Transferencias </w:t>
      </w:r>
      <w:r w:rsidRPr="00244F8B">
        <w:rPr>
          <w:rFonts w:ascii="Arial" w:hAnsi="Arial" w:cs="Arial"/>
          <w:sz w:val="20"/>
          <w:szCs w:val="20"/>
        </w:rPr>
        <w:t>la suma de PESOS SETENTA Y NUEVE MIL OCHOCIENTOS VEINTIDOS ($ 79.822,00)</w:t>
      </w:r>
      <w:r w:rsidRPr="00244F8B">
        <w:rPr>
          <w:rFonts w:ascii="Arial" w:hAnsi="Arial" w:cs="Arial"/>
          <w:b/>
          <w:sz w:val="20"/>
          <w:szCs w:val="20"/>
        </w:rPr>
        <w:t>.</w:t>
      </w:r>
    </w:p>
    <w:p w:rsidR="0037069F" w:rsidRPr="00244F8B" w:rsidRDefault="0037069F" w:rsidP="0037069F">
      <w:pPr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>ARTÍCULO 7º.- TRANSFIÉRASE</w:t>
      </w:r>
      <w:r w:rsidRPr="00244F8B">
        <w:rPr>
          <w:rFonts w:ascii="Arial" w:hAnsi="Arial" w:cs="Arial"/>
          <w:sz w:val="20"/>
          <w:szCs w:val="20"/>
        </w:rPr>
        <w:t xml:space="preserve"> dentro de la Jurisdicción </w:t>
      </w:r>
      <w:r w:rsidRPr="00244F8B">
        <w:rPr>
          <w:rFonts w:ascii="Arial" w:hAnsi="Arial" w:cs="Arial"/>
          <w:b/>
          <w:sz w:val="20"/>
          <w:szCs w:val="20"/>
        </w:rPr>
        <w:t>1110117000 Secretaría del Hábitat</w:t>
      </w:r>
      <w:r w:rsidRPr="00244F8B">
        <w:rPr>
          <w:rFonts w:ascii="Arial" w:hAnsi="Arial" w:cs="Arial"/>
          <w:sz w:val="20"/>
          <w:szCs w:val="20"/>
        </w:rPr>
        <w:t xml:space="preserve"> y de la Apertura Programática </w:t>
      </w:r>
      <w:r w:rsidRPr="00244F8B">
        <w:rPr>
          <w:rFonts w:ascii="Arial" w:hAnsi="Arial" w:cs="Arial"/>
          <w:b/>
          <w:sz w:val="20"/>
          <w:szCs w:val="20"/>
        </w:rPr>
        <w:t>42.00.00 Sub Secretaría de Planeamiento</w:t>
      </w:r>
      <w:r w:rsidRPr="00244F8B">
        <w:rPr>
          <w:rFonts w:ascii="Arial" w:hAnsi="Arial" w:cs="Arial"/>
          <w:sz w:val="20"/>
          <w:szCs w:val="20"/>
        </w:rPr>
        <w:t xml:space="preserve"> de la partida </w:t>
      </w:r>
      <w:r w:rsidRPr="00244F8B">
        <w:rPr>
          <w:rFonts w:ascii="Arial" w:hAnsi="Arial" w:cs="Arial"/>
          <w:b/>
          <w:sz w:val="20"/>
          <w:szCs w:val="20"/>
        </w:rPr>
        <w:t xml:space="preserve">Servicios no Personales </w:t>
      </w:r>
      <w:r w:rsidRPr="00244F8B">
        <w:rPr>
          <w:rFonts w:ascii="Arial" w:hAnsi="Arial" w:cs="Arial"/>
          <w:sz w:val="20"/>
          <w:szCs w:val="20"/>
        </w:rPr>
        <w:t xml:space="preserve">a la partida </w:t>
      </w:r>
      <w:r w:rsidRPr="00244F8B">
        <w:rPr>
          <w:rFonts w:ascii="Arial" w:hAnsi="Arial" w:cs="Arial"/>
          <w:b/>
          <w:sz w:val="20"/>
          <w:szCs w:val="20"/>
        </w:rPr>
        <w:t xml:space="preserve">Bienes de Consumo, </w:t>
      </w:r>
      <w:r w:rsidRPr="00244F8B">
        <w:rPr>
          <w:rFonts w:ascii="Arial" w:hAnsi="Arial" w:cs="Arial"/>
          <w:sz w:val="20"/>
          <w:szCs w:val="20"/>
        </w:rPr>
        <w:t>la suma de PESOS DIEZ MIL ($ 10.000,00).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>ARTÍCULO 8º.- TRANSFIÉRASE</w:t>
      </w:r>
      <w:r w:rsidRPr="00244F8B">
        <w:rPr>
          <w:rFonts w:ascii="Arial" w:hAnsi="Arial" w:cs="Arial"/>
          <w:sz w:val="20"/>
          <w:szCs w:val="20"/>
        </w:rPr>
        <w:t xml:space="preserve"> dentro de la Jurisdicción </w:t>
      </w:r>
      <w:r w:rsidRPr="00244F8B">
        <w:rPr>
          <w:rFonts w:ascii="Arial" w:hAnsi="Arial" w:cs="Arial"/>
          <w:b/>
          <w:sz w:val="20"/>
          <w:szCs w:val="20"/>
        </w:rPr>
        <w:t xml:space="preserve">1110118000 Secretaría del Poder Popular, </w:t>
      </w:r>
      <w:r w:rsidRPr="00244F8B">
        <w:rPr>
          <w:rFonts w:ascii="Arial" w:hAnsi="Arial" w:cs="Arial"/>
          <w:sz w:val="20"/>
          <w:szCs w:val="20"/>
        </w:rPr>
        <w:t xml:space="preserve">dentro de la partida </w:t>
      </w:r>
      <w:r w:rsidRPr="00244F8B">
        <w:rPr>
          <w:rFonts w:ascii="Arial" w:hAnsi="Arial" w:cs="Arial"/>
          <w:b/>
          <w:sz w:val="20"/>
          <w:szCs w:val="20"/>
        </w:rPr>
        <w:t>Bienes de Consumo</w:t>
      </w:r>
      <w:r w:rsidRPr="00244F8B">
        <w:rPr>
          <w:rFonts w:ascii="Arial" w:hAnsi="Arial" w:cs="Arial"/>
          <w:sz w:val="20"/>
          <w:szCs w:val="20"/>
        </w:rPr>
        <w:t xml:space="preserve"> la suma de PESOS CATORCE MIL ($ 14.000,00) de la Apertura Programática </w:t>
      </w:r>
      <w:r w:rsidRPr="00244F8B">
        <w:rPr>
          <w:rFonts w:ascii="Arial" w:hAnsi="Arial" w:cs="Arial"/>
          <w:b/>
          <w:sz w:val="20"/>
          <w:szCs w:val="20"/>
        </w:rPr>
        <w:t>45.00.00 Dirección de Comisiones Vecinales</w:t>
      </w:r>
      <w:r w:rsidRPr="00244F8B">
        <w:rPr>
          <w:rFonts w:ascii="Arial" w:hAnsi="Arial" w:cs="Arial"/>
          <w:sz w:val="20"/>
          <w:szCs w:val="20"/>
        </w:rPr>
        <w:t xml:space="preserve"> a la Apertura Programática</w:t>
      </w:r>
      <w:r w:rsidRPr="00244F8B">
        <w:rPr>
          <w:rFonts w:ascii="Arial" w:hAnsi="Arial" w:cs="Arial"/>
          <w:b/>
          <w:sz w:val="20"/>
          <w:szCs w:val="20"/>
        </w:rPr>
        <w:t xml:space="preserve"> 01.00.00 Conducción Ejecutiva Poder Popular;</w:t>
      </w:r>
      <w:r w:rsidRPr="00244F8B">
        <w:rPr>
          <w:rFonts w:ascii="Arial" w:hAnsi="Arial" w:cs="Arial"/>
          <w:sz w:val="20"/>
          <w:szCs w:val="20"/>
        </w:rPr>
        <w:t xml:space="preserve"> dentro la partida </w:t>
      </w:r>
      <w:r w:rsidRPr="00244F8B">
        <w:rPr>
          <w:rFonts w:ascii="Arial" w:hAnsi="Arial" w:cs="Arial"/>
          <w:b/>
          <w:sz w:val="20"/>
          <w:szCs w:val="20"/>
        </w:rPr>
        <w:t xml:space="preserve">Servicios no Personales </w:t>
      </w:r>
      <w:r w:rsidRPr="00244F8B">
        <w:rPr>
          <w:rFonts w:ascii="Arial" w:hAnsi="Arial" w:cs="Arial"/>
          <w:sz w:val="20"/>
          <w:szCs w:val="20"/>
        </w:rPr>
        <w:t>la suma de PESOS SESENTA MIL ($ 60.000,00) de la Apertura Programática</w:t>
      </w:r>
      <w:r w:rsidRPr="00244F8B">
        <w:rPr>
          <w:rFonts w:ascii="Arial" w:hAnsi="Arial" w:cs="Arial"/>
          <w:b/>
          <w:sz w:val="20"/>
          <w:szCs w:val="20"/>
        </w:rPr>
        <w:t xml:space="preserve"> 01.00.00 Conducción Ejecutiva Poder Popular </w:t>
      </w:r>
      <w:r w:rsidRPr="00244F8B">
        <w:rPr>
          <w:rFonts w:ascii="Arial" w:hAnsi="Arial" w:cs="Arial"/>
          <w:sz w:val="20"/>
          <w:szCs w:val="20"/>
        </w:rPr>
        <w:t>a la Apertura Programática</w:t>
      </w:r>
      <w:r w:rsidRPr="00244F8B">
        <w:rPr>
          <w:rFonts w:ascii="Arial" w:hAnsi="Arial" w:cs="Arial"/>
          <w:b/>
          <w:sz w:val="20"/>
          <w:szCs w:val="20"/>
        </w:rPr>
        <w:t xml:space="preserve"> 47.00.00 Dirección de Educación Popular</w:t>
      </w:r>
      <w:r w:rsidRPr="00244F8B">
        <w:rPr>
          <w:rFonts w:ascii="Arial" w:hAnsi="Arial" w:cs="Arial"/>
          <w:sz w:val="20"/>
          <w:szCs w:val="20"/>
        </w:rPr>
        <w:t xml:space="preserve"> y dentro de la partida </w:t>
      </w:r>
      <w:r w:rsidRPr="00244F8B">
        <w:rPr>
          <w:rFonts w:ascii="Arial" w:hAnsi="Arial" w:cs="Arial"/>
          <w:b/>
          <w:sz w:val="20"/>
          <w:szCs w:val="20"/>
        </w:rPr>
        <w:t xml:space="preserve">Transferencias </w:t>
      </w:r>
      <w:r w:rsidRPr="00244F8B">
        <w:rPr>
          <w:rFonts w:ascii="Arial" w:hAnsi="Arial" w:cs="Arial"/>
          <w:sz w:val="20"/>
          <w:szCs w:val="20"/>
        </w:rPr>
        <w:t xml:space="preserve">la suma de PESOS VEINTISEIS MIL ($ 26.000,00) de la Apertura Programática </w:t>
      </w:r>
      <w:r w:rsidRPr="00244F8B">
        <w:rPr>
          <w:rFonts w:ascii="Arial" w:hAnsi="Arial" w:cs="Arial"/>
          <w:b/>
          <w:sz w:val="20"/>
          <w:szCs w:val="20"/>
        </w:rPr>
        <w:t xml:space="preserve">46.00.00 Dirección del Gobierno del Pueblo </w:t>
      </w:r>
      <w:r w:rsidRPr="00244F8B">
        <w:rPr>
          <w:rFonts w:ascii="Arial" w:hAnsi="Arial" w:cs="Arial"/>
          <w:sz w:val="20"/>
          <w:szCs w:val="20"/>
        </w:rPr>
        <w:t xml:space="preserve">a la Apertura Programática </w:t>
      </w:r>
      <w:r w:rsidRPr="00244F8B">
        <w:rPr>
          <w:rFonts w:ascii="Arial" w:hAnsi="Arial" w:cs="Arial"/>
          <w:b/>
          <w:sz w:val="20"/>
          <w:szCs w:val="20"/>
        </w:rPr>
        <w:t>01.00.00 Conducción Ejecutiva Poder Popular.</w:t>
      </w:r>
    </w:p>
    <w:p w:rsidR="0037069F" w:rsidRPr="00244F8B" w:rsidRDefault="0037069F" w:rsidP="0037069F">
      <w:pPr>
        <w:jc w:val="both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 xml:space="preserve">ARTÍCULO 9º.- </w:t>
      </w:r>
      <w:r w:rsidRPr="00244F8B">
        <w:rPr>
          <w:rFonts w:ascii="Arial" w:hAnsi="Arial" w:cs="Arial"/>
          <w:sz w:val="20"/>
          <w:szCs w:val="20"/>
        </w:rPr>
        <w:t>Comuníquese, notifíquese, publíquese y cumplido, archívese.</w:t>
      </w:r>
    </w:p>
    <w:p w:rsidR="0037069F" w:rsidRPr="00244F8B" w:rsidRDefault="0037069F" w:rsidP="0037069F">
      <w:pPr>
        <w:rPr>
          <w:rFonts w:ascii="Casablanca" w:hAnsi="Casablanca" w:cs="Arial"/>
          <w:b/>
          <w:i/>
          <w:sz w:val="20"/>
          <w:szCs w:val="20"/>
        </w:rPr>
      </w:pPr>
      <w:r w:rsidRPr="00244F8B">
        <w:rPr>
          <w:rFonts w:ascii="Casablanca" w:hAnsi="Casablanca" w:cs="Arial"/>
          <w:b/>
          <w:i/>
          <w:sz w:val="20"/>
          <w:szCs w:val="20"/>
        </w:rPr>
        <w:t xml:space="preserve">         IGNACIO JOSÉ FARFÁN                                           ETEBAN MARTÍN PIAGGIO</w:t>
      </w:r>
    </w:p>
    <w:p w:rsidR="0037069F" w:rsidRPr="00244F8B" w:rsidRDefault="0037069F" w:rsidP="0037069F">
      <w:pPr>
        <w:rPr>
          <w:rFonts w:ascii="Casablanca" w:hAnsi="Casablanca" w:cs="Arial"/>
          <w:b/>
          <w:i/>
          <w:sz w:val="20"/>
          <w:szCs w:val="20"/>
        </w:rPr>
      </w:pPr>
      <w:r w:rsidRPr="00244F8B">
        <w:rPr>
          <w:rFonts w:ascii="Casablanca" w:hAnsi="Casablanca" w:cs="Arial"/>
          <w:b/>
          <w:i/>
          <w:sz w:val="20"/>
          <w:szCs w:val="20"/>
        </w:rPr>
        <w:t xml:space="preserve">               Secretario de Gobierno                                                     Presidente Municipal</w:t>
      </w:r>
    </w:p>
    <w:p w:rsidR="0037069F" w:rsidRPr="00244F8B" w:rsidRDefault="0037069F" w:rsidP="0037069F">
      <w:pPr>
        <w:rPr>
          <w:rFonts w:ascii="Bookman Old Style" w:hAnsi="Bookman Old Style"/>
          <w:color w:val="000080"/>
          <w:sz w:val="20"/>
          <w:szCs w:val="20"/>
        </w:rPr>
      </w:pPr>
    </w:p>
    <w:p w:rsidR="00104463" w:rsidRPr="00244F8B" w:rsidRDefault="00104463" w:rsidP="00C2271E">
      <w:pPr>
        <w:rPr>
          <w:rFonts w:ascii="Bookman Old Style" w:hAnsi="Bookman Old Style"/>
          <w:b/>
          <w:color w:val="000080"/>
          <w:sz w:val="20"/>
          <w:szCs w:val="20"/>
        </w:rPr>
      </w:pPr>
    </w:p>
    <w:sectPr w:rsidR="00104463" w:rsidRPr="00244F8B" w:rsidSect="00EC6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55" w:rsidRDefault="00084455">
      <w:r>
        <w:separator/>
      </w:r>
    </w:p>
  </w:endnote>
  <w:endnote w:type="continuationSeparator" w:id="0">
    <w:p w:rsidR="00084455" w:rsidRDefault="0008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6900CF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900CF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900CF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900CF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900CF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55" w:rsidRDefault="00084455">
      <w:r>
        <w:separator/>
      </w:r>
    </w:p>
  </w:footnote>
  <w:footnote w:type="continuationSeparator" w:id="0">
    <w:p w:rsidR="00084455" w:rsidRDefault="0008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E648E6">
    <w:pPr>
      <w:pStyle w:val="Encabezado"/>
      <w:rPr>
        <w:b/>
        <w:u w:val="single"/>
      </w:rPr>
    </w:pP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EC60DA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55547"/>
    <w:rsid w:val="00084455"/>
    <w:rsid w:val="00096606"/>
    <w:rsid w:val="000A27D0"/>
    <w:rsid w:val="000B1600"/>
    <w:rsid w:val="00104463"/>
    <w:rsid w:val="00123695"/>
    <w:rsid w:val="00163802"/>
    <w:rsid w:val="001878FD"/>
    <w:rsid w:val="00230738"/>
    <w:rsid w:val="00244F8B"/>
    <w:rsid w:val="002675F9"/>
    <w:rsid w:val="00325348"/>
    <w:rsid w:val="00336DC8"/>
    <w:rsid w:val="00341AB4"/>
    <w:rsid w:val="0034547D"/>
    <w:rsid w:val="00357E64"/>
    <w:rsid w:val="0037069F"/>
    <w:rsid w:val="00390004"/>
    <w:rsid w:val="00405602"/>
    <w:rsid w:val="00406694"/>
    <w:rsid w:val="00410667"/>
    <w:rsid w:val="00413325"/>
    <w:rsid w:val="00455C31"/>
    <w:rsid w:val="004705F5"/>
    <w:rsid w:val="004C69D5"/>
    <w:rsid w:val="004E6870"/>
    <w:rsid w:val="0051305E"/>
    <w:rsid w:val="005146DE"/>
    <w:rsid w:val="00530669"/>
    <w:rsid w:val="00591D5C"/>
    <w:rsid w:val="0064382B"/>
    <w:rsid w:val="006900CF"/>
    <w:rsid w:val="00697FBF"/>
    <w:rsid w:val="006A14AC"/>
    <w:rsid w:val="006A4D97"/>
    <w:rsid w:val="006C3985"/>
    <w:rsid w:val="006F021A"/>
    <w:rsid w:val="006F3E0A"/>
    <w:rsid w:val="00775E59"/>
    <w:rsid w:val="00795BEA"/>
    <w:rsid w:val="007D1861"/>
    <w:rsid w:val="007F7084"/>
    <w:rsid w:val="00803E6B"/>
    <w:rsid w:val="00843907"/>
    <w:rsid w:val="0087418B"/>
    <w:rsid w:val="008A3D7B"/>
    <w:rsid w:val="008A4746"/>
    <w:rsid w:val="008C1591"/>
    <w:rsid w:val="008D6160"/>
    <w:rsid w:val="008D66F2"/>
    <w:rsid w:val="00904C00"/>
    <w:rsid w:val="0092001B"/>
    <w:rsid w:val="00955EAD"/>
    <w:rsid w:val="009577BD"/>
    <w:rsid w:val="009B7091"/>
    <w:rsid w:val="00A00D20"/>
    <w:rsid w:val="00A014DB"/>
    <w:rsid w:val="00A12F76"/>
    <w:rsid w:val="00A34AC8"/>
    <w:rsid w:val="00A53A10"/>
    <w:rsid w:val="00A55A98"/>
    <w:rsid w:val="00A7439D"/>
    <w:rsid w:val="00AA7499"/>
    <w:rsid w:val="00AB627A"/>
    <w:rsid w:val="00AE2D6B"/>
    <w:rsid w:val="00AE66F7"/>
    <w:rsid w:val="00B14AD4"/>
    <w:rsid w:val="00B6305A"/>
    <w:rsid w:val="00B907E6"/>
    <w:rsid w:val="00B93400"/>
    <w:rsid w:val="00BA15B8"/>
    <w:rsid w:val="00BA4908"/>
    <w:rsid w:val="00BA5877"/>
    <w:rsid w:val="00C01CF6"/>
    <w:rsid w:val="00C1510E"/>
    <w:rsid w:val="00C2271E"/>
    <w:rsid w:val="00C274E0"/>
    <w:rsid w:val="00C40194"/>
    <w:rsid w:val="00C82A5B"/>
    <w:rsid w:val="00CD2538"/>
    <w:rsid w:val="00CE6F03"/>
    <w:rsid w:val="00CF370B"/>
    <w:rsid w:val="00CF3D77"/>
    <w:rsid w:val="00D26988"/>
    <w:rsid w:val="00D51934"/>
    <w:rsid w:val="00D67928"/>
    <w:rsid w:val="00DB0758"/>
    <w:rsid w:val="00DB0AAA"/>
    <w:rsid w:val="00DE6AEC"/>
    <w:rsid w:val="00E42C27"/>
    <w:rsid w:val="00E474AF"/>
    <w:rsid w:val="00E64258"/>
    <w:rsid w:val="00E648E6"/>
    <w:rsid w:val="00E74402"/>
    <w:rsid w:val="00E92AAB"/>
    <w:rsid w:val="00EB7BBE"/>
    <w:rsid w:val="00EC60DA"/>
    <w:rsid w:val="00EF06A2"/>
    <w:rsid w:val="00F06478"/>
    <w:rsid w:val="00F94692"/>
    <w:rsid w:val="00FA6E29"/>
    <w:rsid w:val="00FC4864"/>
    <w:rsid w:val="00FC5549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D250-5A57-4CF4-82F3-8E04962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2017-05-15T15:44:00Z</cp:lastPrinted>
  <dcterms:created xsi:type="dcterms:W3CDTF">2017-05-15T15:42:00Z</dcterms:created>
  <dcterms:modified xsi:type="dcterms:W3CDTF">2017-05-15T15:45:00Z</dcterms:modified>
</cp:coreProperties>
</file>