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E0F" w:rsidRDefault="00120E0F" w:rsidP="000C0F2E">
      <w:pPr>
        <w:jc w:val="right"/>
        <w:rPr>
          <w:rFonts w:ascii="Bookman Old Style" w:hAnsi="Bookman Old Style"/>
          <w:b/>
          <w:sz w:val="24"/>
          <w:szCs w:val="24"/>
          <w:u w:val="single"/>
          <w:lang w:val="es-ES_tradnl"/>
        </w:rPr>
      </w:pPr>
      <w:r>
        <w:rPr>
          <w:rFonts w:ascii="Bookman Old Style" w:hAnsi="Bookman Old Style"/>
          <w:b/>
          <w:sz w:val="24"/>
          <w:szCs w:val="24"/>
          <w:u w:val="single"/>
          <w:lang w:val="es-ES_tradnl"/>
        </w:rPr>
        <w:t>ORDENANZA Nº 12.032/2016.</w:t>
      </w:r>
    </w:p>
    <w:p w:rsidR="00120E0F" w:rsidRDefault="00120E0F" w:rsidP="000C0F2E">
      <w:pPr>
        <w:jc w:val="right"/>
        <w:rPr>
          <w:rFonts w:ascii="Bookman Old Style" w:hAnsi="Bookman Old Style"/>
          <w:b/>
          <w:sz w:val="24"/>
          <w:szCs w:val="24"/>
          <w:u w:val="single"/>
          <w:lang w:val="es-ES_tradnl"/>
        </w:rPr>
      </w:pPr>
      <w:r>
        <w:rPr>
          <w:rFonts w:ascii="Bookman Old Style" w:hAnsi="Bookman Old Style"/>
          <w:b/>
          <w:sz w:val="24"/>
          <w:szCs w:val="24"/>
          <w:u w:val="single"/>
          <w:lang w:val="es-ES_tradnl"/>
        </w:rPr>
        <w:t>EXPTE.Nº 5661/2016-H.C.D.-</w:t>
      </w:r>
    </w:p>
    <w:p w:rsidR="00120E0F" w:rsidRDefault="00120E0F" w:rsidP="000C0F2E">
      <w:pPr>
        <w:jc w:val="both"/>
        <w:rPr>
          <w:rFonts w:ascii="Bookman Old Style" w:hAnsi="Bookman Old Style"/>
          <w:b/>
          <w:sz w:val="24"/>
          <w:szCs w:val="24"/>
          <w:u w:val="single"/>
          <w:lang w:val="es-ES_tradnl"/>
        </w:rPr>
      </w:pPr>
    </w:p>
    <w:p w:rsidR="00120E0F" w:rsidRDefault="00120E0F" w:rsidP="000C0F2E">
      <w:pPr>
        <w:jc w:val="both"/>
        <w:rPr>
          <w:rFonts w:ascii="Bookman Old Style" w:hAnsi="Bookman Old Style"/>
          <w:sz w:val="24"/>
          <w:szCs w:val="24"/>
          <w:lang w:val="es-ES_tradnl"/>
        </w:rPr>
      </w:pPr>
      <w:r w:rsidRPr="00937D8A">
        <w:rPr>
          <w:rFonts w:ascii="Bookman Old Style" w:hAnsi="Bookman Old Style"/>
          <w:b/>
          <w:sz w:val="24"/>
          <w:szCs w:val="24"/>
          <w:u w:val="single"/>
          <w:lang w:val="es-ES_tradnl"/>
        </w:rPr>
        <w:t>VISTO</w:t>
      </w:r>
      <w:r w:rsidRPr="00FA12DD">
        <w:rPr>
          <w:rFonts w:ascii="Bookman Old Style" w:hAnsi="Bookman Old Style"/>
          <w:sz w:val="24"/>
          <w:szCs w:val="24"/>
          <w:lang w:val="es-ES_tradnl"/>
        </w:rPr>
        <w:t xml:space="preserve">: </w:t>
      </w:r>
    </w:p>
    <w:p w:rsidR="00120E0F" w:rsidRPr="00FA12DD" w:rsidRDefault="00120E0F" w:rsidP="000C0F2E">
      <w:pPr>
        <w:jc w:val="both"/>
        <w:rPr>
          <w:rFonts w:ascii="Bookman Old Style" w:hAnsi="Bookman Old Style"/>
          <w:sz w:val="24"/>
          <w:szCs w:val="24"/>
          <w:lang w:val="es-ES_tradnl"/>
        </w:rPr>
      </w:pPr>
      <w:r>
        <w:rPr>
          <w:rFonts w:ascii="Bookman Old Style" w:hAnsi="Bookman Old Style"/>
          <w:sz w:val="24"/>
          <w:szCs w:val="24"/>
          <w:lang w:val="es-ES_tradnl"/>
        </w:rPr>
        <w:tab/>
        <w:t>L</w:t>
      </w:r>
      <w:r w:rsidRPr="00FA12DD">
        <w:rPr>
          <w:rFonts w:ascii="Bookman Old Style" w:hAnsi="Bookman Old Style"/>
          <w:sz w:val="24"/>
          <w:szCs w:val="24"/>
          <w:lang w:val="es-ES_tradnl"/>
        </w:rPr>
        <w:t>a necesidad de contemplar la situación que atravesaron los prestadores turísticos frente a la crecida de los ríos Gualeguaychú y Uruguay, durante diciembre del año 2015 y enero del año 2016 y;</w:t>
      </w:r>
    </w:p>
    <w:p w:rsidR="00120E0F" w:rsidRPr="00937D8A" w:rsidRDefault="00120E0F" w:rsidP="000C0F2E">
      <w:pPr>
        <w:jc w:val="both"/>
        <w:rPr>
          <w:rFonts w:ascii="Bookman Old Style" w:hAnsi="Bookman Old Style"/>
          <w:b/>
          <w:sz w:val="24"/>
          <w:szCs w:val="24"/>
          <w:u w:val="single"/>
          <w:lang w:val="es-ES_tradnl"/>
        </w:rPr>
      </w:pPr>
      <w:r w:rsidRPr="00FA12DD">
        <w:rPr>
          <w:rFonts w:ascii="Bookman Old Style" w:hAnsi="Bookman Old Style"/>
          <w:sz w:val="24"/>
          <w:szCs w:val="24"/>
          <w:lang w:val="es-ES_tradnl"/>
        </w:rPr>
        <w:t> </w:t>
      </w:r>
      <w:r w:rsidRPr="00937D8A">
        <w:rPr>
          <w:rFonts w:ascii="Bookman Old Style" w:hAnsi="Bookman Old Style"/>
          <w:b/>
          <w:sz w:val="24"/>
          <w:szCs w:val="24"/>
          <w:u w:val="single"/>
          <w:lang w:val="es-ES_tradnl"/>
        </w:rPr>
        <w:t>CONSIDERANDO:</w:t>
      </w:r>
    </w:p>
    <w:p w:rsidR="00120E0F" w:rsidRPr="00FA12DD" w:rsidRDefault="00120E0F" w:rsidP="000C0F2E">
      <w:pPr>
        <w:ind w:firstLine="708"/>
        <w:jc w:val="both"/>
        <w:rPr>
          <w:rFonts w:ascii="Bookman Old Style" w:hAnsi="Bookman Old Style" w:cs="Arial"/>
          <w:sz w:val="24"/>
          <w:szCs w:val="24"/>
        </w:rPr>
      </w:pPr>
      <w:r w:rsidRPr="00FA12DD">
        <w:rPr>
          <w:rFonts w:ascii="Bookman Old Style" w:hAnsi="Bookman Old Style"/>
          <w:sz w:val="24"/>
          <w:szCs w:val="24"/>
          <w:lang w:val="es-ES_tradnl"/>
        </w:rPr>
        <w:t xml:space="preserve">Que </w:t>
      </w:r>
      <w:smartTag w:uri="urn:schemas-microsoft-com:office:smarttags" w:element="PersonName">
        <w:smartTagPr>
          <w:attr w:name="ProductID" w:val="la Ordenanza N"/>
        </w:smartTagPr>
        <w:r w:rsidRPr="00FA12DD">
          <w:rPr>
            <w:rFonts w:ascii="Bookman Old Style" w:hAnsi="Bookman Old Style"/>
            <w:sz w:val="24"/>
            <w:szCs w:val="24"/>
            <w:lang w:val="es-ES_tradnl"/>
          </w:rPr>
          <w:t>l</w:t>
        </w:r>
        <w:r w:rsidRPr="00FA12DD">
          <w:rPr>
            <w:rFonts w:ascii="Bookman Old Style" w:hAnsi="Bookman Old Style" w:cs="Arial"/>
            <w:sz w:val="24"/>
            <w:szCs w:val="24"/>
          </w:rPr>
          <w:t>a Ordenanza N</w:t>
        </w:r>
      </w:smartTag>
      <w:r w:rsidRPr="00FA12DD">
        <w:rPr>
          <w:rFonts w:ascii="Bookman Old Style" w:hAnsi="Bookman Old Style" w:cs="Arial"/>
          <w:sz w:val="24"/>
          <w:szCs w:val="24"/>
        </w:rPr>
        <w:t>º 11.843/2013,</w:t>
      </w:r>
      <w:r w:rsidRPr="00FA12DD">
        <w:rPr>
          <w:rFonts w:ascii="Bookman Old Style" w:hAnsi="Bookman Old Style"/>
          <w:sz w:val="24"/>
          <w:szCs w:val="24"/>
        </w:rPr>
        <w:t xml:space="preserve"> sancionada por el Honorable Concejo Deliberante en fecha 5 de diciembre del año 2013</w:t>
      </w:r>
      <w:r w:rsidRPr="00FA12DD">
        <w:rPr>
          <w:rFonts w:ascii="Bookman Old Style" w:hAnsi="Bookman Old Style" w:cs="Arial"/>
          <w:sz w:val="24"/>
          <w:szCs w:val="24"/>
        </w:rPr>
        <w:t xml:space="preserve"> faculta al Departamento Ejecutivo Municipal a determinar los nuevos valores de Tasa General Inmobiliaria y Tasa de Obras Sanitarias.</w:t>
      </w:r>
    </w:p>
    <w:p w:rsidR="00120E0F" w:rsidRPr="00FA12DD" w:rsidRDefault="00120E0F" w:rsidP="000C0F2E">
      <w:pPr>
        <w:ind w:firstLine="708"/>
        <w:jc w:val="both"/>
        <w:rPr>
          <w:rFonts w:ascii="Bookman Old Style" w:hAnsi="Bookman Old Style"/>
          <w:sz w:val="24"/>
          <w:szCs w:val="24"/>
          <w:lang w:val="es-ES_tradnl"/>
        </w:rPr>
      </w:pPr>
      <w:r w:rsidRPr="00FA12DD">
        <w:rPr>
          <w:rFonts w:ascii="Bookman Old Style" w:hAnsi="Bookman Old Style" w:cs="Arial"/>
          <w:sz w:val="24"/>
          <w:szCs w:val="24"/>
        </w:rPr>
        <w:t xml:space="preserve">Que </w:t>
      </w:r>
      <w:smartTag w:uri="urn:schemas-microsoft-com:office:smarttags" w:element="PersonName">
        <w:smartTagPr>
          <w:attr w:name="ProductID" w:val="la Ordenanza"/>
        </w:smartTagPr>
        <w:smartTag w:uri="urn:schemas-microsoft-com:office:smarttags" w:element="PersonName">
          <w:smartTagPr>
            <w:attr w:name="ProductID" w:val="la Ordenanza N"/>
          </w:smartTagPr>
          <w:r w:rsidRPr="00FA12DD">
            <w:rPr>
              <w:rFonts w:ascii="Bookman Old Style" w:hAnsi="Bookman Old Style" w:cs="Arial"/>
              <w:sz w:val="24"/>
              <w:szCs w:val="24"/>
            </w:rPr>
            <w:t>la Ordenanza</w:t>
          </w:r>
        </w:smartTag>
        <w:r w:rsidRPr="00FA12DD">
          <w:rPr>
            <w:rFonts w:ascii="Bookman Old Style" w:hAnsi="Bookman Old Style" w:cs="Arial"/>
            <w:sz w:val="24"/>
            <w:szCs w:val="24"/>
          </w:rPr>
          <w:t xml:space="preserve"> N</w:t>
        </w:r>
      </w:smartTag>
      <w:r w:rsidRPr="00FA12DD">
        <w:rPr>
          <w:rFonts w:ascii="Bookman Old Style" w:hAnsi="Bookman Old Style" w:cs="Arial"/>
          <w:sz w:val="24"/>
          <w:szCs w:val="24"/>
        </w:rPr>
        <w:t>º 11.843/2013 determina el procedimiento de actualización anual de las Tasas General Inmobiliaria y de Obras Sanitarias.</w:t>
      </w:r>
      <w:r w:rsidRPr="00FA12DD">
        <w:rPr>
          <w:rFonts w:ascii="Bookman Old Style" w:hAnsi="Bookman Old Style" w:cs="Arial"/>
          <w:sz w:val="24"/>
          <w:szCs w:val="24"/>
        </w:rPr>
        <w:tab/>
      </w:r>
    </w:p>
    <w:p w:rsidR="00120E0F" w:rsidRPr="00FA12DD" w:rsidRDefault="00120E0F" w:rsidP="000C0F2E">
      <w:pPr>
        <w:jc w:val="both"/>
        <w:rPr>
          <w:rFonts w:ascii="Bookman Old Style" w:hAnsi="Bookman Old Style" w:cs="Arial"/>
          <w:sz w:val="24"/>
          <w:szCs w:val="24"/>
        </w:rPr>
      </w:pPr>
      <w:r w:rsidRPr="00FA12DD">
        <w:rPr>
          <w:rFonts w:ascii="Bookman Old Style" w:hAnsi="Bookman Old Style" w:cs="Arial"/>
          <w:sz w:val="24"/>
          <w:szCs w:val="24"/>
        </w:rPr>
        <w:tab/>
        <w:t xml:space="preserve">Que respecto a </w:t>
      </w:r>
      <w:smartTag w:uri="urn:schemas-microsoft-com:office:smarttags" w:element="PersonName">
        <w:smartTagPr>
          <w:attr w:name="ProductID" w:val="la Tasa"/>
        </w:smartTagPr>
        <w:r w:rsidRPr="00FA12DD">
          <w:rPr>
            <w:rFonts w:ascii="Bookman Old Style" w:hAnsi="Bookman Old Style" w:cs="Arial"/>
            <w:sz w:val="24"/>
            <w:szCs w:val="24"/>
          </w:rPr>
          <w:t>la Tasa</w:t>
        </w:r>
      </w:smartTag>
      <w:r w:rsidRPr="00FA12DD">
        <w:rPr>
          <w:rFonts w:ascii="Bookman Old Style" w:hAnsi="Bookman Old Style" w:cs="Arial"/>
          <w:sz w:val="24"/>
          <w:szCs w:val="24"/>
        </w:rPr>
        <w:t xml:space="preserve"> de Obras Sanitarias, la norma prevé la actualización de los valores a aplicar sobre las superficies de terreno y edificio de los inmuebles, en función de los servicios con que cuenta cada bien y de la tasa mensual mínima según la norma de los artículos 40º y 43º respectivamente de </w:t>
      </w:r>
      <w:smartTag w:uri="urn:schemas-microsoft-com:office:smarttags" w:element="PersonName">
        <w:smartTagPr>
          <w:attr w:name="ProductID" w:val="la Ordenanza General"/>
        </w:smartTagPr>
        <w:r w:rsidRPr="00FA12DD">
          <w:rPr>
            <w:rFonts w:ascii="Bookman Old Style" w:hAnsi="Bookman Old Style" w:cs="Arial"/>
            <w:sz w:val="24"/>
            <w:szCs w:val="24"/>
          </w:rPr>
          <w:t>la Ordenanza General</w:t>
        </w:r>
      </w:smartTag>
      <w:r w:rsidRPr="00FA12DD">
        <w:rPr>
          <w:rFonts w:ascii="Bookman Old Style" w:hAnsi="Bookman Old Style" w:cs="Arial"/>
          <w:sz w:val="24"/>
          <w:szCs w:val="24"/>
        </w:rPr>
        <w:t xml:space="preserve"> Impositiva.</w:t>
      </w:r>
    </w:p>
    <w:p w:rsidR="00120E0F" w:rsidRPr="00FA12DD" w:rsidRDefault="00120E0F" w:rsidP="000C0F2E">
      <w:pPr>
        <w:jc w:val="both"/>
        <w:rPr>
          <w:rFonts w:ascii="Bookman Old Style" w:hAnsi="Bookman Old Style" w:cs="Arial"/>
          <w:sz w:val="24"/>
          <w:szCs w:val="24"/>
        </w:rPr>
      </w:pPr>
      <w:r w:rsidRPr="00FA12DD">
        <w:rPr>
          <w:rFonts w:ascii="Bookman Old Style" w:hAnsi="Bookman Old Style"/>
          <w:sz w:val="24"/>
          <w:szCs w:val="24"/>
        </w:rPr>
        <w:tab/>
        <w:t xml:space="preserve">Que el Decreto Nº 2/2016 dispuso </w:t>
      </w:r>
      <w:r w:rsidRPr="00FA12DD">
        <w:rPr>
          <w:rFonts w:ascii="Bookman Old Style" w:hAnsi="Bookman Old Style" w:cs="Arial"/>
          <w:sz w:val="24"/>
          <w:szCs w:val="24"/>
        </w:rPr>
        <w:t xml:space="preserve">un incremento en las valuaciones fiscales fijadas según la norma del artículo 2º del Código Tributario Municipal, Parte Especial, Título I, a los efectos de la determinación de </w:t>
      </w:r>
      <w:smartTag w:uri="urn:schemas-microsoft-com:office:smarttags" w:element="PersonName">
        <w:smartTagPr>
          <w:attr w:name="ProductID" w:val="la Tasa General"/>
        </w:smartTagPr>
        <w:r w:rsidRPr="00FA12DD">
          <w:rPr>
            <w:rFonts w:ascii="Bookman Old Style" w:hAnsi="Bookman Old Style" w:cs="Arial"/>
            <w:sz w:val="24"/>
            <w:szCs w:val="24"/>
          </w:rPr>
          <w:t>la Tasa General</w:t>
        </w:r>
      </w:smartTag>
      <w:r w:rsidRPr="00FA12DD">
        <w:rPr>
          <w:rFonts w:ascii="Bookman Old Style" w:hAnsi="Bookman Old Style" w:cs="Arial"/>
          <w:sz w:val="24"/>
          <w:szCs w:val="24"/>
        </w:rPr>
        <w:t xml:space="preserve"> Inmobiliaria.</w:t>
      </w:r>
    </w:p>
    <w:p w:rsidR="00120E0F" w:rsidRPr="00FA12DD" w:rsidRDefault="00120E0F" w:rsidP="000C0F2E">
      <w:pPr>
        <w:jc w:val="both"/>
        <w:rPr>
          <w:rFonts w:ascii="Bookman Old Style" w:hAnsi="Bookman Old Style" w:cs="Arial"/>
          <w:sz w:val="24"/>
          <w:szCs w:val="24"/>
        </w:rPr>
      </w:pPr>
      <w:r w:rsidRPr="00FA12DD">
        <w:rPr>
          <w:rFonts w:ascii="Bookman Old Style" w:hAnsi="Bookman Old Style" w:cs="Arial"/>
          <w:sz w:val="24"/>
          <w:szCs w:val="24"/>
        </w:rPr>
        <w:tab/>
        <w:t xml:space="preserve">Que el Decreto Nº 119/2016 prorrogó hasta el día 24 de febrero del año 2016 la fecha de vencimiento de opción de pago anual de </w:t>
      </w:r>
      <w:smartTag w:uri="urn:schemas-microsoft-com:office:smarttags" w:element="PersonName">
        <w:smartTagPr>
          <w:attr w:name="ProductID" w:val="la Tasa General"/>
        </w:smartTagPr>
        <w:r w:rsidRPr="00FA12DD">
          <w:rPr>
            <w:rFonts w:ascii="Bookman Old Style" w:hAnsi="Bookman Old Style" w:cs="Arial"/>
            <w:sz w:val="24"/>
            <w:szCs w:val="24"/>
          </w:rPr>
          <w:t>la Tasa General</w:t>
        </w:r>
      </w:smartTag>
      <w:r w:rsidRPr="00FA12DD">
        <w:rPr>
          <w:rFonts w:ascii="Bookman Old Style" w:hAnsi="Bookman Old Style" w:cs="Arial"/>
          <w:sz w:val="24"/>
          <w:szCs w:val="24"/>
        </w:rPr>
        <w:t xml:space="preserve"> Inmobiliaria y de </w:t>
      </w:r>
      <w:smartTag w:uri="urn:schemas-microsoft-com:office:smarttags" w:element="PersonName">
        <w:smartTagPr>
          <w:attr w:name="ProductID" w:val="la Tasa"/>
        </w:smartTagPr>
        <w:r w:rsidRPr="00FA12DD">
          <w:rPr>
            <w:rFonts w:ascii="Bookman Old Style" w:hAnsi="Bookman Old Style" w:cs="Arial"/>
            <w:sz w:val="24"/>
            <w:szCs w:val="24"/>
          </w:rPr>
          <w:t>la Tasa</w:t>
        </w:r>
      </w:smartTag>
      <w:r w:rsidRPr="00FA12DD">
        <w:rPr>
          <w:rFonts w:ascii="Bookman Old Style" w:hAnsi="Bookman Old Style" w:cs="Arial"/>
          <w:sz w:val="24"/>
          <w:szCs w:val="24"/>
        </w:rPr>
        <w:t xml:space="preserve"> de Obras Sanitarias, el cual hubiere operado el día 20 de febrero del corriente año, en busca de estimular el buen cumplimiento de los contribuyentes de </w:t>
      </w:r>
      <w:smartTag w:uri="urn:schemas-microsoft-com:office:smarttags" w:element="PersonName">
        <w:smartTagPr>
          <w:attr w:name="ProductID" w:val="la Municipalidad"/>
        </w:smartTagPr>
        <w:r w:rsidRPr="00FA12DD">
          <w:rPr>
            <w:rFonts w:ascii="Bookman Old Style" w:hAnsi="Bookman Old Style" w:cs="Arial"/>
            <w:sz w:val="24"/>
            <w:szCs w:val="24"/>
          </w:rPr>
          <w:t>la Municipalidad</w:t>
        </w:r>
      </w:smartTag>
      <w:r w:rsidRPr="00FA12DD">
        <w:rPr>
          <w:rFonts w:ascii="Bookman Old Style" w:hAnsi="Bookman Old Style" w:cs="Arial"/>
          <w:sz w:val="24"/>
          <w:szCs w:val="24"/>
        </w:rPr>
        <w:t xml:space="preserve"> de San José de Gualeguaychú, proporcionando herramientas administrativas que lo simplifiquen.</w:t>
      </w:r>
    </w:p>
    <w:p w:rsidR="00120E0F" w:rsidRDefault="00120E0F" w:rsidP="00073CC6">
      <w:pPr>
        <w:ind w:firstLine="708"/>
        <w:jc w:val="both"/>
        <w:rPr>
          <w:rFonts w:ascii="Bookman Old Style" w:hAnsi="Bookman Old Style" w:cs="Arial"/>
          <w:sz w:val="24"/>
          <w:szCs w:val="24"/>
        </w:rPr>
      </w:pPr>
      <w:r w:rsidRPr="00FA12DD">
        <w:rPr>
          <w:rFonts w:ascii="Bookman Old Style" w:hAnsi="Bookman Old Style" w:cs="Arial"/>
          <w:sz w:val="24"/>
          <w:szCs w:val="24"/>
        </w:rPr>
        <w:t xml:space="preserve">Que con motivo de la grave situación que atravesaron los prestadores turísticos durante los meses de diciembre del año 2015 y enero del año </w:t>
      </w:r>
      <w:smartTag w:uri="urn:schemas-microsoft-com:office:smarttags" w:element="metricconverter">
        <w:smartTagPr>
          <w:attr w:name="ProductID" w:val="2016, a"/>
        </w:smartTagPr>
        <w:r w:rsidRPr="00FA12DD">
          <w:rPr>
            <w:rFonts w:ascii="Bookman Old Style" w:hAnsi="Bookman Old Style" w:cs="Arial"/>
            <w:sz w:val="24"/>
            <w:szCs w:val="24"/>
          </w:rPr>
          <w:t>2016, a</w:t>
        </w:r>
      </w:smartTag>
      <w:r w:rsidRPr="00FA12DD">
        <w:rPr>
          <w:rFonts w:ascii="Bookman Old Style" w:hAnsi="Bookman Old Style" w:cs="Arial"/>
          <w:sz w:val="24"/>
          <w:szCs w:val="24"/>
        </w:rPr>
        <w:t xml:space="preserve"> raíz de la creciente del río Uruguay y</w:t>
      </w:r>
      <w:r>
        <w:rPr>
          <w:rFonts w:ascii="Bookman Old Style" w:hAnsi="Bookman Old Style" w:cs="Arial"/>
          <w:sz w:val="24"/>
          <w:szCs w:val="24"/>
        </w:rPr>
        <w:t xml:space="preserve"> </w:t>
      </w:r>
      <w:r w:rsidRPr="00FA12DD">
        <w:rPr>
          <w:rFonts w:ascii="Bookman Old Style" w:hAnsi="Bookman Old Style" w:cs="Arial"/>
          <w:sz w:val="24"/>
          <w:szCs w:val="24"/>
        </w:rPr>
        <w:t>Gualeguaychú, sufriendo numerosas consecuencias en los establecimientos y una pronunciada baja en la actividad turística de toda la temporada de verano debido a las cancelaciones de las reservas.</w:t>
      </w:r>
    </w:p>
    <w:p w:rsidR="00120E0F" w:rsidRPr="00FA12DD" w:rsidRDefault="00120E0F" w:rsidP="000C0F2E">
      <w:pPr>
        <w:ind w:firstLine="708"/>
        <w:jc w:val="both"/>
        <w:rPr>
          <w:rFonts w:ascii="Bookman Old Style" w:hAnsi="Bookman Old Style" w:cs="Arial"/>
          <w:sz w:val="24"/>
          <w:szCs w:val="24"/>
        </w:rPr>
      </w:pPr>
      <w:r w:rsidRPr="00FA12DD">
        <w:rPr>
          <w:rFonts w:ascii="Bookman Old Style" w:hAnsi="Bookman Old Style" w:cs="Arial"/>
          <w:sz w:val="24"/>
          <w:szCs w:val="24"/>
        </w:rPr>
        <w:t xml:space="preserve">Que a fin de dar soluciones a los prestadores turísticos afectados por la creciente, se mantuvieron reuniones con el Ministro de Turismo de Entre Ríos Señor Adrián FUERTES, el Presidente Municipal, Doctor Esteban Martín PIAGGIO, el Presidente del Consejo Mixto Gualeguaychú Turismo, Licenciado Gastón IRAZUSTA y </w:t>
      </w:r>
      <w:smartTag w:uri="urn:schemas-microsoft-com:office:smarttags" w:element="PersonName">
        <w:smartTagPr>
          <w:attr w:name="ProductID" w:val="la Coordinadora"/>
        </w:smartTagPr>
        <w:r w:rsidRPr="00FA12DD">
          <w:rPr>
            <w:rFonts w:ascii="Bookman Old Style" w:hAnsi="Bookman Old Style" w:cs="Arial"/>
            <w:sz w:val="24"/>
            <w:szCs w:val="24"/>
          </w:rPr>
          <w:t>la Coordinadora</w:t>
        </w:r>
      </w:smartTag>
      <w:r w:rsidRPr="00FA12DD">
        <w:rPr>
          <w:rFonts w:ascii="Bookman Old Style" w:hAnsi="Bookman Old Style" w:cs="Arial"/>
          <w:sz w:val="24"/>
          <w:szCs w:val="24"/>
        </w:rPr>
        <w:t xml:space="preserve"> de Gestión Turística Señora Claudia PAGNOTTA y con más de treinta (30) propietarios de complejos del Camino de </w:t>
      </w:r>
      <w:smartTag w:uri="urn:schemas-microsoft-com:office:smarttags" w:element="PersonName">
        <w:smartTagPr>
          <w:attr w:name="ProductID" w:val="la Costa"/>
        </w:smartTagPr>
        <w:r w:rsidRPr="00FA12DD">
          <w:rPr>
            <w:rFonts w:ascii="Bookman Old Style" w:hAnsi="Bookman Old Style" w:cs="Arial"/>
            <w:sz w:val="24"/>
            <w:szCs w:val="24"/>
          </w:rPr>
          <w:t>la Costa</w:t>
        </w:r>
      </w:smartTag>
      <w:r w:rsidRPr="00FA12DD">
        <w:rPr>
          <w:rFonts w:ascii="Bookman Old Style" w:hAnsi="Bookman Old Style" w:cs="Arial"/>
          <w:sz w:val="24"/>
          <w:szCs w:val="24"/>
        </w:rPr>
        <w:t xml:space="preserve">, Camino de </w:t>
      </w:r>
      <w:smartTag w:uri="urn:schemas-microsoft-com:office:smarttags" w:element="PersonName">
        <w:smartTagPr>
          <w:attr w:name="ProductID" w:val="la Península"/>
        </w:smartTagPr>
        <w:r w:rsidRPr="00FA12DD">
          <w:rPr>
            <w:rFonts w:ascii="Bookman Old Style" w:hAnsi="Bookman Old Style" w:cs="Arial"/>
            <w:sz w:val="24"/>
            <w:szCs w:val="24"/>
          </w:rPr>
          <w:t>la Península</w:t>
        </w:r>
      </w:smartTag>
      <w:r w:rsidRPr="00FA12DD">
        <w:rPr>
          <w:rFonts w:ascii="Bookman Old Style" w:hAnsi="Bookman Old Style" w:cs="Arial"/>
          <w:sz w:val="24"/>
          <w:szCs w:val="24"/>
        </w:rPr>
        <w:t xml:space="preserve"> y Ñandubaysal.</w:t>
      </w:r>
    </w:p>
    <w:p w:rsidR="00120E0F" w:rsidRPr="00FA12DD" w:rsidRDefault="00120E0F" w:rsidP="000C0F2E">
      <w:pPr>
        <w:ind w:firstLine="708"/>
        <w:jc w:val="both"/>
        <w:rPr>
          <w:rFonts w:ascii="Bookman Old Style" w:hAnsi="Bookman Old Style" w:cs="Arial"/>
          <w:sz w:val="24"/>
          <w:szCs w:val="24"/>
        </w:rPr>
      </w:pPr>
      <w:r w:rsidRPr="00FA12DD">
        <w:rPr>
          <w:rFonts w:ascii="Bookman Old Style" w:hAnsi="Bookman Old Style" w:cs="Arial"/>
          <w:sz w:val="24"/>
          <w:szCs w:val="24"/>
        </w:rPr>
        <w:t>Que en dicha reunión los prestadores llenaron una ficha con sus datos personales y en detalle de las pérdidas ocasionadas por la crecida del río manifestaron cuales eran las necesidades inmediatas, entre las cuales se pueden enumerar, mejoramientos de caminos; limpieza; créditos; exenciones impositivas tanto a nivel nacional, provincial y Municipal.</w:t>
      </w:r>
    </w:p>
    <w:p w:rsidR="00120E0F" w:rsidRPr="00FA12DD" w:rsidRDefault="00120E0F" w:rsidP="000C0F2E">
      <w:pPr>
        <w:ind w:firstLine="708"/>
        <w:jc w:val="both"/>
        <w:rPr>
          <w:rFonts w:ascii="Bookman Old Style" w:hAnsi="Bookman Old Style" w:cs="Arial"/>
          <w:sz w:val="24"/>
          <w:szCs w:val="24"/>
        </w:rPr>
      </w:pPr>
      <w:r w:rsidRPr="00FA12DD">
        <w:rPr>
          <w:rFonts w:ascii="Bookman Old Style" w:hAnsi="Bookman Old Style" w:cs="Arial"/>
          <w:sz w:val="24"/>
          <w:szCs w:val="24"/>
        </w:rPr>
        <w:t xml:space="preserve">Que en virtud de la reunión mantenida y a fin de dar respuesta a la solicitud de exención en las tasas municipales (TGI-OSM y </w:t>
      </w:r>
      <w:smartTag w:uri="urn:schemas-microsoft-com:office:smarttags" w:element="PersonName">
        <w:smartTagPr>
          <w:attr w:name="ProductID" w:val="la Municipalidad"/>
        </w:smartTagPr>
        <w:r w:rsidRPr="00FA12DD">
          <w:rPr>
            <w:rFonts w:ascii="Bookman Old Style" w:hAnsi="Bookman Old Style" w:cs="Arial"/>
            <w:sz w:val="24"/>
            <w:szCs w:val="24"/>
          </w:rPr>
          <w:t>la Tasa</w:t>
        </w:r>
      </w:smartTag>
      <w:r w:rsidRPr="00FA12DD">
        <w:rPr>
          <w:rFonts w:ascii="Bookman Old Style" w:hAnsi="Bookman Old Style" w:cs="Arial"/>
          <w:sz w:val="24"/>
          <w:szCs w:val="24"/>
        </w:rPr>
        <w:t xml:space="preserve"> de Inspección, Higiene, Profilaxis y Seguridad, se resolvió, evaluar la vialidad de la exención.</w:t>
      </w:r>
    </w:p>
    <w:p w:rsidR="00120E0F" w:rsidRPr="00FA12DD" w:rsidRDefault="00120E0F" w:rsidP="000C0F2E">
      <w:pPr>
        <w:ind w:firstLine="708"/>
        <w:jc w:val="both"/>
        <w:rPr>
          <w:rFonts w:ascii="Bookman Old Style" w:hAnsi="Bookman Old Style" w:cs="Arial"/>
          <w:sz w:val="24"/>
          <w:szCs w:val="24"/>
        </w:rPr>
      </w:pPr>
      <w:r w:rsidRPr="00FA12DD">
        <w:rPr>
          <w:rFonts w:ascii="Bookman Old Style" w:hAnsi="Bookman Old Style" w:cs="Arial"/>
          <w:sz w:val="24"/>
          <w:szCs w:val="24"/>
        </w:rPr>
        <w:t xml:space="preserve">Que luego del análisis realizado se decidió otorgar la exención para el pago de las tasas de TGI-OSM y Tasa de Inspección, Higiene, Profilaxis y Seguridad de los meses de diciembre del año 2015 y enero del año 2016 para todos los prestadores turísticos de la zona: Camino de </w:t>
      </w:r>
      <w:smartTag w:uri="urn:schemas-microsoft-com:office:smarttags" w:element="PersonName">
        <w:smartTagPr>
          <w:attr w:name="ProductID" w:val="la Municipalidad"/>
        </w:smartTagPr>
        <w:r w:rsidRPr="00FA12DD">
          <w:rPr>
            <w:rFonts w:ascii="Bookman Old Style" w:hAnsi="Bookman Old Style" w:cs="Arial"/>
            <w:sz w:val="24"/>
            <w:szCs w:val="24"/>
          </w:rPr>
          <w:t>la Costa</w:t>
        </w:r>
      </w:smartTag>
      <w:r w:rsidRPr="00FA12DD">
        <w:rPr>
          <w:rFonts w:ascii="Bookman Old Style" w:hAnsi="Bookman Old Style" w:cs="Arial"/>
          <w:sz w:val="24"/>
          <w:szCs w:val="24"/>
        </w:rPr>
        <w:t xml:space="preserve">, Camino de </w:t>
      </w:r>
      <w:smartTag w:uri="urn:schemas-microsoft-com:office:smarttags" w:element="PersonName">
        <w:smartTagPr>
          <w:attr w:name="ProductID" w:val="la Municipalidad"/>
        </w:smartTagPr>
        <w:r w:rsidRPr="00FA12DD">
          <w:rPr>
            <w:rFonts w:ascii="Bookman Old Style" w:hAnsi="Bookman Old Style" w:cs="Arial"/>
            <w:sz w:val="24"/>
            <w:szCs w:val="24"/>
          </w:rPr>
          <w:t>la Península</w:t>
        </w:r>
      </w:smartTag>
      <w:r w:rsidRPr="00FA12DD">
        <w:rPr>
          <w:rFonts w:ascii="Bookman Old Style" w:hAnsi="Bookman Old Style" w:cs="Arial"/>
          <w:sz w:val="24"/>
          <w:szCs w:val="24"/>
        </w:rPr>
        <w:t xml:space="preserve"> y Ñandubaysal.</w:t>
      </w:r>
    </w:p>
    <w:p w:rsidR="00120E0F" w:rsidRPr="00FA12DD" w:rsidRDefault="00120E0F" w:rsidP="000C0F2E">
      <w:pPr>
        <w:ind w:firstLine="708"/>
        <w:jc w:val="both"/>
        <w:rPr>
          <w:rFonts w:ascii="Bookman Old Style" w:hAnsi="Bookman Old Style" w:cs="Arial"/>
          <w:sz w:val="24"/>
          <w:szCs w:val="24"/>
        </w:rPr>
      </w:pPr>
      <w:r w:rsidRPr="00FA12DD">
        <w:rPr>
          <w:rFonts w:ascii="Bookman Old Style" w:hAnsi="Bookman Old Style" w:cs="Arial"/>
          <w:sz w:val="24"/>
          <w:szCs w:val="24"/>
        </w:rPr>
        <w:t xml:space="preserve">Que el Consejo Mixto Gualeguaychú Turismo y </w:t>
      </w:r>
      <w:smartTag w:uri="urn:schemas-microsoft-com:office:smarttags" w:element="PersonName">
        <w:smartTagPr>
          <w:attr w:name="ProductID" w:val="la Municipalidad"/>
        </w:smartTagPr>
        <w:r w:rsidRPr="00FA12DD">
          <w:rPr>
            <w:rFonts w:ascii="Bookman Old Style" w:hAnsi="Bookman Old Style" w:cs="Arial"/>
            <w:sz w:val="24"/>
            <w:szCs w:val="24"/>
          </w:rPr>
          <w:t>la Dirección</w:t>
        </w:r>
      </w:smartTag>
      <w:r w:rsidRPr="00FA12DD">
        <w:rPr>
          <w:rFonts w:ascii="Bookman Old Style" w:hAnsi="Bookman Old Style" w:cs="Arial"/>
          <w:sz w:val="24"/>
          <w:szCs w:val="24"/>
        </w:rPr>
        <w:t xml:space="preserve"> de Rentas comunicaron a los prestadores el beneficio impositivo que se les otorgaría, a fines de que se presenten a </w:t>
      </w:r>
      <w:smartTag w:uri="urn:schemas-microsoft-com:office:smarttags" w:element="PersonName">
        <w:smartTagPr>
          <w:attr w:name="ProductID" w:val="la Municipalidad"/>
        </w:smartTagPr>
        <w:r w:rsidRPr="00FA12DD">
          <w:rPr>
            <w:rFonts w:ascii="Bookman Old Style" w:hAnsi="Bookman Old Style" w:cs="Arial"/>
            <w:sz w:val="24"/>
            <w:szCs w:val="24"/>
          </w:rPr>
          <w:t>la Dirección</w:t>
        </w:r>
      </w:smartTag>
      <w:r w:rsidRPr="00FA12DD">
        <w:rPr>
          <w:rFonts w:ascii="Bookman Old Style" w:hAnsi="Bookman Old Style" w:cs="Arial"/>
          <w:sz w:val="24"/>
          <w:szCs w:val="24"/>
        </w:rPr>
        <w:t xml:space="preserve"> de Rentas con la documentación necesaria para la exención aprobada.</w:t>
      </w:r>
    </w:p>
    <w:p w:rsidR="00120E0F" w:rsidRPr="00937D8A" w:rsidRDefault="00120E0F" w:rsidP="000C0F2E">
      <w:pPr>
        <w:rPr>
          <w:rFonts w:ascii="Bookman Old Style" w:hAnsi="Bookman Old Style" w:cs="Arial"/>
          <w:b/>
          <w:sz w:val="24"/>
          <w:szCs w:val="24"/>
          <w:u w:val="single"/>
        </w:rPr>
      </w:pPr>
      <w:r w:rsidRPr="00937D8A">
        <w:rPr>
          <w:rFonts w:ascii="Bookman Old Style" w:hAnsi="Bookman Old Style" w:cs="Arial"/>
          <w:b/>
          <w:sz w:val="24"/>
          <w:szCs w:val="24"/>
          <w:u w:val="single"/>
        </w:rPr>
        <w:t>POR ELLO:</w:t>
      </w:r>
    </w:p>
    <w:p w:rsidR="00120E0F" w:rsidRPr="00937D8A" w:rsidRDefault="00120E0F" w:rsidP="000C0F2E">
      <w:pPr>
        <w:jc w:val="center"/>
        <w:rPr>
          <w:rFonts w:ascii="Bookman Old Style" w:hAnsi="Bookman Old Style" w:cs="Arial"/>
          <w:b/>
          <w:sz w:val="24"/>
          <w:szCs w:val="24"/>
        </w:rPr>
      </w:pPr>
      <w:r w:rsidRPr="00937D8A">
        <w:rPr>
          <w:rFonts w:ascii="Bookman Old Style" w:hAnsi="Bookman Old Style" w:cs="Arial"/>
          <w:b/>
          <w:sz w:val="24"/>
          <w:szCs w:val="24"/>
        </w:rPr>
        <w:t xml:space="preserve">EL HONORABLE CONCEJO DELIBERANTE DE </w:t>
      </w:r>
      <w:smartTag w:uri="urn:schemas-microsoft-com:office:smarttags" w:element="PersonName">
        <w:smartTagPr>
          <w:attr w:name="ProductID" w:val="la Municipalidad"/>
        </w:smartTagPr>
        <w:smartTag w:uri="urn:schemas-microsoft-com:office:smarttags" w:element="PersonName">
          <w:smartTagPr>
            <w:attr w:name="ProductID" w:val="la Municipalidad"/>
          </w:smartTagPr>
          <w:r w:rsidRPr="00937D8A">
            <w:rPr>
              <w:rFonts w:ascii="Bookman Old Style" w:hAnsi="Bookman Old Style" w:cs="Arial"/>
              <w:b/>
              <w:sz w:val="24"/>
              <w:szCs w:val="24"/>
            </w:rPr>
            <w:t>LA MUNICIPALIDAD</w:t>
          </w:r>
        </w:smartTag>
        <w:r w:rsidRPr="00937D8A">
          <w:rPr>
            <w:rFonts w:ascii="Bookman Old Style" w:hAnsi="Bookman Old Style" w:cs="Arial"/>
            <w:b/>
            <w:sz w:val="24"/>
            <w:szCs w:val="24"/>
          </w:rPr>
          <w:t xml:space="preserve"> DE</w:t>
        </w:r>
      </w:smartTag>
      <w:r w:rsidRPr="00937D8A">
        <w:rPr>
          <w:rFonts w:ascii="Bookman Old Style" w:hAnsi="Bookman Old Style" w:cs="Arial"/>
          <w:b/>
          <w:sz w:val="24"/>
          <w:szCs w:val="24"/>
        </w:rPr>
        <w:t xml:space="preserve"> SAN JOSE DE GUALEGUAYCHU SANCIONA </w:t>
      </w:r>
      <w:smartTag w:uri="urn:schemas-microsoft-com:office:smarttags" w:element="PersonName">
        <w:smartTagPr>
          <w:attr w:name="ProductID" w:val="la Municipalidad"/>
        </w:smartTagPr>
        <w:r w:rsidRPr="00937D8A">
          <w:rPr>
            <w:rFonts w:ascii="Bookman Old Style" w:hAnsi="Bookman Old Style" w:cs="Arial"/>
            <w:b/>
            <w:sz w:val="24"/>
            <w:szCs w:val="24"/>
          </w:rPr>
          <w:t>LA SIGUIENTE</w:t>
        </w:r>
      </w:smartTag>
    </w:p>
    <w:p w:rsidR="00120E0F" w:rsidRPr="00937D8A" w:rsidRDefault="00120E0F" w:rsidP="000C0F2E">
      <w:pPr>
        <w:tabs>
          <w:tab w:val="left" w:pos="3266"/>
          <w:tab w:val="center" w:pos="4252"/>
        </w:tabs>
        <w:rPr>
          <w:rFonts w:ascii="Bookman Old Style" w:hAnsi="Bookman Old Style" w:cs="Arial"/>
          <w:sz w:val="24"/>
          <w:szCs w:val="24"/>
          <w:u w:val="single"/>
        </w:rPr>
      </w:pPr>
      <w:r w:rsidRPr="00937D8A">
        <w:rPr>
          <w:rFonts w:ascii="Bookman Old Style" w:hAnsi="Bookman Old Style" w:cs="Arial"/>
          <w:b/>
          <w:sz w:val="24"/>
          <w:szCs w:val="24"/>
        </w:rPr>
        <w:tab/>
      </w:r>
      <w:r w:rsidRPr="00937D8A">
        <w:rPr>
          <w:rFonts w:ascii="Bookman Old Style" w:hAnsi="Bookman Old Style" w:cs="Arial"/>
          <w:b/>
          <w:sz w:val="24"/>
          <w:szCs w:val="24"/>
        </w:rPr>
        <w:tab/>
      </w:r>
      <w:r w:rsidRPr="00937D8A">
        <w:rPr>
          <w:rFonts w:ascii="Bookman Old Style" w:hAnsi="Bookman Old Style" w:cs="Arial"/>
          <w:b/>
          <w:sz w:val="24"/>
          <w:szCs w:val="24"/>
          <w:u w:val="single"/>
        </w:rPr>
        <w:t>ORDENANZA</w:t>
      </w:r>
    </w:p>
    <w:p w:rsidR="00120E0F" w:rsidRDefault="00120E0F" w:rsidP="000C0F2E">
      <w:pPr>
        <w:jc w:val="both"/>
        <w:rPr>
          <w:rFonts w:ascii="Bookman Old Style" w:hAnsi="Bookman Old Style"/>
          <w:sz w:val="24"/>
          <w:szCs w:val="24"/>
          <w:lang w:val="es-ES_tradnl"/>
        </w:rPr>
      </w:pPr>
      <w:r w:rsidRPr="00937D8A">
        <w:rPr>
          <w:rFonts w:ascii="Bookman Old Style" w:hAnsi="Bookman Old Style"/>
          <w:b/>
          <w:sz w:val="24"/>
          <w:szCs w:val="24"/>
          <w:u w:val="single"/>
          <w:lang w:val="es-ES_tradnl"/>
        </w:rPr>
        <w:t>Artículo 1º</w:t>
      </w:r>
      <w:r w:rsidRPr="00FA12DD">
        <w:rPr>
          <w:rFonts w:ascii="Bookman Old Style" w:hAnsi="Bookman Old Style"/>
          <w:b/>
          <w:sz w:val="24"/>
          <w:szCs w:val="24"/>
          <w:lang w:val="es-ES_tradnl"/>
        </w:rPr>
        <w:t>.-</w:t>
      </w:r>
      <w:r w:rsidRPr="00FA12DD">
        <w:rPr>
          <w:rFonts w:ascii="Bookman Old Style" w:hAnsi="Bookman Old Style"/>
          <w:sz w:val="24"/>
          <w:szCs w:val="24"/>
          <w:lang w:val="es-ES_tradnl"/>
        </w:rPr>
        <w:t xml:space="preserve">. </w:t>
      </w:r>
      <w:r w:rsidRPr="00937D8A">
        <w:rPr>
          <w:rFonts w:ascii="Bookman Old Style" w:hAnsi="Bookman Old Style"/>
          <w:b/>
          <w:sz w:val="24"/>
          <w:szCs w:val="24"/>
          <w:lang w:val="es-ES_tradnl"/>
        </w:rPr>
        <w:t>EXÍMESE</w:t>
      </w:r>
      <w:r w:rsidRPr="00FA12DD">
        <w:rPr>
          <w:rFonts w:ascii="Bookman Old Style" w:hAnsi="Bookman Old Style"/>
          <w:sz w:val="24"/>
          <w:szCs w:val="24"/>
          <w:lang w:val="es-ES_tradnl"/>
        </w:rPr>
        <w:t xml:space="preserve">, sin intereses ni multas, los vencimientos de todas las tasas, derechos y contribuciones a cargo de </w:t>
      </w:r>
      <w:smartTag w:uri="urn:schemas-microsoft-com:office:smarttags" w:element="PersonName">
        <w:smartTagPr>
          <w:attr w:name="ProductID" w:val="la Municipalidad"/>
        </w:smartTagPr>
        <w:r w:rsidRPr="00FA12DD">
          <w:rPr>
            <w:rFonts w:ascii="Bookman Old Style" w:hAnsi="Bookman Old Style"/>
            <w:sz w:val="24"/>
            <w:szCs w:val="24"/>
            <w:lang w:val="es-ES_tradnl"/>
          </w:rPr>
          <w:t>la Municipalidad</w:t>
        </w:r>
      </w:smartTag>
      <w:r w:rsidRPr="00FA12DD">
        <w:rPr>
          <w:rFonts w:ascii="Bookman Old Style" w:hAnsi="Bookman Old Style"/>
          <w:sz w:val="24"/>
          <w:szCs w:val="24"/>
          <w:lang w:val="es-ES_tradnl"/>
        </w:rPr>
        <w:t xml:space="preserve"> de San José de Gualeguaychú, a los siguientes prestadores turísticos durante diciembre del año 2015 y enero del año 2016:</w:t>
      </w:r>
    </w:p>
    <w:tbl>
      <w:tblPr>
        <w:tblW w:w="0" w:type="auto"/>
        <w:tblCellMar>
          <w:left w:w="70" w:type="dxa"/>
          <w:right w:w="70" w:type="dxa"/>
        </w:tblCellMar>
        <w:tblLook w:val="00A0"/>
      </w:tblPr>
      <w:tblGrid>
        <w:gridCol w:w="353"/>
        <w:gridCol w:w="697"/>
        <w:gridCol w:w="1159"/>
        <w:gridCol w:w="1302"/>
        <w:gridCol w:w="1344"/>
        <w:gridCol w:w="796"/>
        <w:gridCol w:w="686"/>
        <w:gridCol w:w="935"/>
        <w:gridCol w:w="686"/>
        <w:gridCol w:w="686"/>
      </w:tblGrid>
      <w:tr w:rsidR="00120E0F" w:rsidRPr="00FA4FF0" w:rsidTr="00D249CC">
        <w:trPr>
          <w:trHeight w:val="304"/>
        </w:trPr>
        <w:tc>
          <w:tcPr>
            <w:tcW w:w="0" w:type="auto"/>
            <w:tcBorders>
              <w:top w:val="single" w:sz="4" w:space="0" w:color="auto"/>
              <w:left w:val="single" w:sz="4" w:space="0" w:color="auto"/>
              <w:bottom w:val="single" w:sz="8" w:space="0" w:color="auto"/>
              <w:right w:val="nil"/>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 </w:t>
            </w:r>
          </w:p>
        </w:tc>
        <w:tc>
          <w:tcPr>
            <w:tcW w:w="0" w:type="auto"/>
            <w:tcBorders>
              <w:top w:val="single" w:sz="4" w:space="0" w:color="auto"/>
              <w:left w:val="nil"/>
              <w:bottom w:val="single" w:sz="8" w:space="0" w:color="auto"/>
              <w:right w:val="nil"/>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 </w:t>
            </w:r>
          </w:p>
        </w:tc>
        <w:tc>
          <w:tcPr>
            <w:tcW w:w="0" w:type="auto"/>
            <w:gridSpan w:val="4"/>
            <w:tcBorders>
              <w:top w:val="single" w:sz="4" w:space="0" w:color="auto"/>
              <w:left w:val="nil"/>
              <w:bottom w:val="single" w:sz="8" w:space="0" w:color="auto"/>
              <w:right w:val="nil"/>
            </w:tcBorders>
            <w:noWrap/>
            <w:vAlign w:val="bottom"/>
          </w:tcPr>
          <w:p w:rsidR="00120E0F" w:rsidRPr="000F4D21" w:rsidRDefault="00120E0F" w:rsidP="00037C05">
            <w:pPr>
              <w:jc w:val="right"/>
              <w:rPr>
                <w:b/>
                <w:bCs/>
                <w:color w:val="000000"/>
                <w:lang w:eastAsia="es-ES"/>
              </w:rPr>
            </w:pPr>
          </w:p>
        </w:tc>
        <w:tc>
          <w:tcPr>
            <w:tcW w:w="0" w:type="auto"/>
            <w:tcBorders>
              <w:top w:val="single" w:sz="4" w:space="0" w:color="auto"/>
              <w:left w:val="nil"/>
              <w:bottom w:val="single" w:sz="8" w:space="0" w:color="auto"/>
              <w:right w:val="nil"/>
            </w:tcBorders>
            <w:noWrap/>
            <w:vAlign w:val="bottom"/>
          </w:tcPr>
          <w:p w:rsidR="00120E0F" w:rsidRPr="000F4D21" w:rsidRDefault="00120E0F" w:rsidP="00037C05">
            <w:pPr>
              <w:jc w:val="right"/>
              <w:rPr>
                <w:color w:val="000000"/>
                <w:lang w:eastAsia="es-ES"/>
              </w:rPr>
            </w:pPr>
          </w:p>
        </w:tc>
        <w:tc>
          <w:tcPr>
            <w:tcW w:w="0" w:type="auto"/>
            <w:tcBorders>
              <w:top w:val="single" w:sz="4" w:space="0" w:color="auto"/>
              <w:left w:val="nil"/>
              <w:bottom w:val="single" w:sz="8" w:space="0" w:color="auto"/>
              <w:right w:val="nil"/>
            </w:tcBorders>
            <w:noWrap/>
            <w:vAlign w:val="bottom"/>
          </w:tcPr>
          <w:p w:rsidR="00120E0F" w:rsidRPr="00FA4FF0" w:rsidRDefault="00120E0F" w:rsidP="00037C05">
            <w:pPr>
              <w:jc w:val="right"/>
              <w:rPr>
                <w:color w:val="000000"/>
                <w:sz w:val="15"/>
                <w:szCs w:val="15"/>
                <w:lang w:eastAsia="es-ES"/>
              </w:rPr>
            </w:pPr>
          </w:p>
        </w:tc>
        <w:tc>
          <w:tcPr>
            <w:tcW w:w="0" w:type="auto"/>
            <w:tcBorders>
              <w:top w:val="single" w:sz="4" w:space="0" w:color="auto"/>
              <w:left w:val="nil"/>
              <w:bottom w:val="single" w:sz="8" w:space="0" w:color="auto"/>
              <w:right w:val="nil"/>
            </w:tcBorders>
            <w:noWrap/>
            <w:vAlign w:val="bottom"/>
          </w:tcPr>
          <w:p w:rsidR="00120E0F" w:rsidRPr="00FA4FF0" w:rsidRDefault="00120E0F" w:rsidP="00037C05">
            <w:pPr>
              <w:jc w:val="right"/>
              <w:rPr>
                <w:color w:val="000000"/>
                <w:sz w:val="15"/>
                <w:szCs w:val="15"/>
                <w:lang w:eastAsia="es-ES"/>
              </w:rPr>
            </w:pPr>
          </w:p>
        </w:tc>
        <w:tc>
          <w:tcPr>
            <w:tcW w:w="0" w:type="auto"/>
            <w:tcBorders>
              <w:top w:val="single" w:sz="4" w:space="0" w:color="auto"/>
              <w:left w:val="nil"/>
              <w:bottom w:val="single" w:sz="8" w:space="0" w:color="auto"/>
              <w:right w:val="single" w:sz="4" w:space="0" w:color="auto"/>
            </w:tcBorders>
            <w:noWrap/>
            <w:vAlign w:val="bottom"/>
          </w:tcPr>
          <w:p w:rsidR="00120E0F" w:rsidRPr="00FA4FF0" w:rsidRDefault="00120E0F" w:rsidP="00037C05">
            <w:pPr>
              <w:rPr>
                <w:color w:val="000000"/>
                <w:sz w:val="15"/>
                <w:szCs w:val="15"/>
                <w:lang w:eastAsia="es-ES"/>
              </w:rPr>
            </w:pPr>
            <w:r w:rsidRPr="00FA4FF0">
              <w:rPr>
                <w:color w:val="000000"/>
                <w:sz w:val="15"/>
                <w:szCs w:val="15"/>
                <w:lang w:eastAsia="es-ES"/>
              </w:rPr>
              <w:t> </w:t>
            </w:r>
          </w:p>
        </w:tc>
      </w:tr>
      <w:tr w:rsidR="00120E0F" w:rsidRPr="00FA4FF0" w:rsidTr="00D249CC">
        <w:trPr>
          <w:trHeight w:val="564"/>
        </w:trPr>
        <w:tc>
          <w:tcPr>
            <w:tcW w:w="0" w:type="auto"/>
            <w:vMerge w:val="restart"/>
            <w:tcBorders>
              <w:top w:val="nil"/>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Nro.</w:t>
            </w:r>
          </w:p>
        </w:tc>
        <w:tc>
          <w:tcPr>
            <w:tcW w:w="0" w:type="auto"/>
            <w:gridSpan w:val="4"/>
            <w:tcBorders>
              <w:top w:val="single" w:sz="8" w:space="0" w:color="auto"/>
              <w:left w:val="nil"/>
              <w:bottom w:val="single" w:sz="4" w:space="0" w:color="auto"/>
              <w:right w:val="single" w:sz="4" w:space="0" w:color="auto"/>
            </w:tcBorders>
            <w:noWrap/>
            <w:vAlign w:val="bottom"/>
          </w:tcPr>
          <w:p w:rsidR="00120E0F" w:rsidRPr="00B055C1" w:rsidRDefault="00120E0F" w:rsidP="00037C05">
            <w:pPr>
              <w:jc w:val="center"/>
              <w:rPr>
                <w:b/>
                <w:bCs/>
                <w:color w:val="000000"/>
                <w:sz w:val="20"/>
                <w:szCs w:val="20"/>
                <w:lang w:eastAsia="es-ES"/>
              </w:rPr>
            </w:pPr>
            <w:r w:rsidRPr="00B055C1">
              <w:rPr>
                <w:b/>
                <w:bCs/>
                <w:color w:val="000000"/>
                <w:sz w:val="20"/>
                <w:szCs w:val="20"/>
                <w:lang w:eastAsia="es-ES"/>
              </w:rPr>
              <w:t>Datos establecimientos</w:t>
            </w:r>
          </w:p>
        </w:tc>
        <w:tc>
          <w:tcPr>
            <w:tcW w:w="0" w:type="auto"/>
            <w:gridSpan w:val="2"/>
            <w:tcBorders>
              <w:top w:val="single" w:sz="8" w:space="0" w:color="auto"/>
              <w:left w:val="nil"/>
              <w:bottom w:val="single" w:sz="4" w:space="0" w:color="auto"/>
              <w:right w:val="single" w:sz="8" w:space="0" w:color="000000"/>
            </w:tcBorders>
            <w:noWrap/>
            <w:vAlign w:val="bottom"/>
          </w:tcPr>
          <w:p w:rsidR="00120E0F" w:rsidRPr="00FA4FF0" w:rsidRDefault="00120E0F" w:rsidP="00037C05">
            <w:pPr>
              <w:jc w:val="center"/>
              <w:rPr>
                <w:b/>
                <w:bCs/>
                <w:color w:val="000000"/>
                <w:sz w:val="15"/>
                <w:szCs w:val="15"/>
                <w:lang w:eastAsia="es-ES"/>
              </w:rPr>
            </w:pPr>
            <w:r w:rsidRPr="00FA4FF0">
              <w:rPr>
                <w:b/>
                <w:bCs/>
                <w:color w:val="000000"/>
                <w:sz w:val="15"/>
                <w:szCs w:val="15"/>
                <w:lang w:eastAsia="es-ES"/>
              </w:rPr>
              <w:t>Tasa de SHyP</w:t>
            </w:r>
          </w:p>
        </w:tc>
        <w:tc>
          <w:tcPr>
            <w:tcW w:w="0" w:type="auto"/>
            <w:vMerge w:val="restart"/>
            <w:tcBorders>
              <w:top w:val="nil"/>
              <w:left w:val="single" w:sz="8" w:space="0" w:color="auto"/>
              <w:bottom w:val="single" w:sz="8" w:space="0" w:color="000000"/>
              <w:right w:val="single" w:sz="4" w:space="0" w:color="auto"/>
            </w:tcBorders>
            <w:vAlign w:val="bottom"/>
          </w:tcPr>
          <w:p w:rsidR="00120E0F" w:rsidRPr="00FA4FF0" w:rsidRDefault="00120E0F" w:rsidP="00037C05">
            <w:pPr>
              <w:jc w:val="center"/>
              <w:rPr>
                <w:b/>
                <w:bCs/>
                <w:color w:val="000000"/>
                <w:sz w:val="15"/>
                <w:szCs w:val="15"/>
                <w:lang w:eastAsia="es-ES"/>
              </w:rPr>
            </w:pPr>
            <w:r w:rsidRPr="00FA4FF0">
              <w:rPr>
                <w:b/>
                <w:bCs/>
                <w:color w:val="000000"/>
                <w:sz w:val="15"/>
                <w:szCs w:val="15"/>
                <w:lang w:eastAsia="es-ES"/>
              </w:rPr>
              <w:t>Nro. De TGI y OSM</w:t>
            </w:r>
          </w:p>
        </w:tc>
        <w:tc>
          <w:tcPr>
            <w:tcW w:w="0" w:type="auto"/>
            <w:gridSpan w:val="2"/>
            <w:tcBorders>
              <w:top w:val="single" w:sz="8" w:space="0" w:color="auto"/>
              <w:left w:val="nil"/>
              <w:bottom w:val="single" w:sz="4" w:space="0" w:color="auto"/>
              <w:right w:val="single" w:sz="4" w:space="0" w:color="auto"/>
            </w:tcBorders>
            <w:noWrap/>
            <w:vAlign w:val="bottom"/>
          </w:tcPr>
          <w:p w:rsidR="00120E0F" w:rsidRPr="00FA4FF0" w:rsidRDefault="00120E0F" w:rsidP="00037C05">
            <w:pPr>
              <w:jc w:val="center"/>
              <w:rPr>
                <w:b/>
                <w:bCs/>
                <w:color w:val="000000"/>
                <w:sz w:val="15"/>
                <w:szCs w:val="15"/>
                <w:lang w:eastAsia="es-ES"/>
              </w:rPr>
            </w:pPr>
            <w:r w:rsidRPr="00FA4FF0">
              <w:rPr>
                <w:b/>
                <w:bCs/>
                <w:color w:val="000000"/>
                <w:sz w:val="15"/>
                <w:szCs w:val="15"/>
                <w:lang w:eastAsia="es-ES"/>
              </w:rPr>
              <w:t>TGI -OSM</w:t>
            </w:r>
          </w:p>
        </w:tc>
      </w:tr>
      <w:tr w:rsidR="00120E0F" w:rsidRPr="00FA4FF0" w:rsidTr="00D249CC">
        <w:trPr>
          <w:trHeight w:val="535"/>
        </w:trPr>
        <w:tc>
          <w:tcPr>
            <w:tcW w:w="0" w:type="auto"/>
            <w:vMerge/>
            <w:tcBorders>
              <w:top w:val="nil"/>
              <w:left w:val="single" w:sz="4" w:space="0" w:color="auto"/>
              <w:bottom w:val="single" w:sz="4" w:space="0" w:color="auto"/>
              <w:right w:val="single" w:sz="4" w:space="0" w:color="auto"/>
            </w:tcBorders>
            <w:vAlign w:val="center"/>
          </w:tcPr>
          <w:p w:rsidR="00120E0F" w:rsidRPr="00FA4FF0" w:rsidRDefault="00120E0F" w:rsidP="00037C05">
            <w:pPr>
              <w:rPr>
                <w:color w:val="000000"/>
                <w:sz w:val="15"/>
                <w:szCs w:val="15"/>
                <w:lang w:eastAsia="es-ES"/>
              </w:rPr>
            </w:pPr>
          </w:p>
        </w:tc>
        <w:tc>
          <w:tcPr>
            <w:tcW w:w="0" w:type="auto"/>
            <w:tcBorders>
              <w:top w:val="nil"/>
              <w:left w:val="nil"/>
              <w:bottom w:val="single" w:sz="4" w:space="0" w:color="auto"/>
              <w:right w:val="single" w:sz="4" w:space="0" w:color="auto"/>
            </w:tcBorders>
            <w:noWrap/>
            <w:vAlign w:val="bottom"/>
          </w:tcPr>
          <w:p w:rsidR="00120E0F" w:rsidRPr="00FA4FF0" w:rsidRDefault="00120E0F" w:rsidP="00037C05">
            <w:pPr>
              <w:jc w:val="center"/>
              <w:rPr>
                <w:b/>
                <w:bCs/>
                <w:color w:val="000000"/>
                <w:sz w:val="15"/>
                <w:szCs w:val="15"/>
                <w:lang w:eastAsia="es-ES"/>
              </w:rPr>
            </w:pPr>
            <w:r w:rsidRPr="00FA4FF0">
              <w:rPr>
                <w:b/>
                <w:bCs/>
                <w:color w:val="000000"/>
                <w:sz w:val="15"/>
                <w:szCs w:val="15"/>
                <w:lang w:eastAsia="es-ES"/>
              </w:rPr>
              <w:t>Cod. Contr.</w:t>
            </w:r>
          </w:p>
        </w:tc>
        <w:tc>
          <w:tcPr>
            <w:tcW w:w="0" w:type="auto"/>
            <w:tcBorders>
              <w:top w:val="nil"/>
              <w:left w:val="nil"/>
              <w:bottom w:val="single" w:sz="4" w:space="0" w:color="auto"/>
              <w:right w:val="single" w:sz="4" w:space="0" w:color="auto"/>
            </w:tcBorders>
            <w:noWrap/>
            <w:vAlign w:val="bottom"/>
          </w:tcPr>
          <w:p w:rsidR="00120E0F" w:rsidRPr="00FA4FF0" w:rsidRDefault="00120E0F" w:rsidP="00037C05">
            <w:pPr>
              <w:jc w:val="center"/>
              <w:rPr>
                <w:b/>
                <w:bCs/>
                <w:color w:val="000000"/>
                <w:sz w:val="15"/>
                <w:szCs w:val="15"/>
                <w:lang w:eastAsia="es-ES"/>
              </w:rPr>
            </w:pPr>
            <w:r w:rsidRPr="00FA4FF0">
              <w:rPr>
                <w:b/>
                <w:bCs/>
                <w:color w:val="000000"/>
                <w:sz w:val="15"/>
                <w:szCs w:val="15"/>
                <w:lang w:eastAsia="es-ES"/>
              </w:rPr>
              <w:t>Nombre</w:t>
            </w:r>
          </w:p>
        </w:tc>
        <w:tc>
          <w:tcPr>
            <w:tcW w:w="0" w:type="auto"/>
            <w:tcBorders>
              <w:top w:val="nil"/>
              <w:left w:val="nil"/>
              <w:bottom w:val="single" w:sz="4" w:space="0" w:color="auto"/>
              <w:right w:val="single" w:sz="4" w:space="0" w:color="auto"/>
            </w:tcBorders>
            <w:noWrap/>
            <w:vAlign w:val="bottom"/>
          </w:tcPr>
          <w:p w:rsidR="00120E0F" w:rsidRPr="00FA4FF0" w:rsidRDefault="00120E0F" w:rsidP="00037C05">
            <w:pPr>
              <w:jc w:val="center"/>
              <w:rPr>
                <w:b/>
                <w:bCs/>
                <w:color w:val="000000"/>
                <w:sz w:val="15"/>
                <w:szCs w:val="15"/>
                <w:lang w:eastAsia="es-ES"/>
              </w:rPr>
            </w:pPr>
            <w:r w:rsidRPr="00FA4FF0">
              <w:rPr>
                <w:b/>
                <w:bCs/>
                <w:color w:val="000000"/>
                <w:sz w:val="15"/>
                <w:szCs w:val="15"/>
                <w:lang w:eastAsia="es-ES"/>
              </w:rPr>
              <w:t>Tipo</w:t>
            </w:r>
          </w:p>
        </w:tc>
        <w:tc>
          <w:tcPr>
            <w:tcW w:w="0" w:type="auto"/>
            <w:tcBorders>
              <w:top w:val="nil"/>
              <w:left w:val="nil"/>
              <w:bottom w:val="single" w:sz="4" w:space="0" w:color="auto"/>
              <w:right w:val="single" w:sz="4" w:space="0" w:color="auto"/>
            </w:tcBorders>
            <w:noWrap/>
            <w:vAlign w:val="bottom"/>
          </w:tcPr>
          <w:p w:rsidR="00120E0F" w:rsidRPr="00FA4FF0" w:rsidRDefault="00120E0F" w:rsidP="00037C05">
            <w:pPr>
              <w:jc w:val="center"/>
              <w:rPr>
                <w:b/>
                <w:bCs/>
                <w:color w:val="000000"/>
                <w:sz w:val="15"/>
                <w:szCs w:val="15"/>
                <w:lang w:eastAsia="es-ES"/>
              </w:rPr>
            </w:pPr>
            <w:r w:rsidRPr="00FA4FF0">
              <w:rPr>
                <w:b/>
                <w:bCs/>
                <w:color w:val="000000"/>
                <w:sz w:val="15"/>
                <w:szCs w:val="15"/>
                <w:lang w:eastAsia="es-ES"/>
              </w:rPr>
              <w:t>Establecimiento</w:t>
            </w:r>
          </w:p>
        </w:tc>
        <w:tc>
          <w:tcPr>
            <w:tcW w:w="0" w:type="auto"/>
            <w:tcBorders>
              <w:top w:val="nil"/>
              <w:left w:val="nil"/>
              <w:bottom w:val="single" w:sz="4" w:space="0" w:color="auto"/>
              <w:right w:val="single" w:sz="4" w:space="0" w:color="auto"/>
            </w:tcBorders>
            <w:noWrap/>
            <w:vAlign w:val="bottom"/>
          </w:tcPr>
          <w:p w:rsidR="00120E0F" w:rsidRPr="00FA4FF0" w:rsidRDefault="00120E0F" w:rsidP="00037C05">
            <w:pPr>
              <w:jc w:val="center"/>
              <w:rPr>
                <w:b/>
                <w:bCs/>
                <w:color w:val="000000"/>
                <w:sz w:val="15"/>
                <w:szCs w:val="15"/>
                <w:lang w:eastAsia="es-ES"/>
              </w:rPr>
            </w:pPr>
            <w:r w:rsidRPr="00FA4FF0">
              <w:rPr>
                <w:b/>
                <w:bCs/>
                <w:color w:val="000000"/>
                <w:sz w:val="15"/>
                <w:szCs w:val="15"/>
                <w:lang w:eastAsia="es-ES"/>
              </w:rPr>
              <w:t>dic-15</w:t>
            </w:r>
          </w:p>
        </w:tc>
        <w:tc>
          <w:tcPr>
            <w:tcW w:w="0" w:type="auto"/>
            <w:tcBorders>
              <w:top w:val="nil"/>
              <w:left w:val="nil"/>
              <w:bottom w:val="single" w:sz="4" w:space="0" w:color="auto"/>
              <w:right w:val="single" w:sz="8" w:space="0" w:color="auto"/>
            </w:tcBorders>
            <w:noWrap/>
            <w:vAlign w:val="bottom"/>
          </w:tcPr>
          <w:p w:rsidR="00120E0F" w:rsidRPr="00FA4FF0" w:rsidRDefault="00120E0F" w:rsidP="00037C05">
            <w:pPr>
              <w:jc w:val="center"/>
              <w:rPr>
                <w:b/>
                <w:bCs/>
                <w:color w:val="000000"/>
                <w:sz w:val="15"/>
                <w:szCs w:val="15"/>
                <w:lang w:eastAsia="es-ES"/>
              </w:rPr>
            </w:pPr>
            <w:r w:rsidRPr="00FA4FF0">
              <w:rPr>
                <w:b/>
                <w:bCs/>
                <w:color w:val="000000"/>
                <w:sz w:val="15"/>
                <w:szCs w:val="15"/>
                <w:lang w:eastAsia="es-ES"/>
              </w:rPr>
              <w:t>Ene-16</w:t>
            </w:r>
          </w:p>
        </w:tc>
        <w:tc>
          <w:tcPr>
            <w:tcW w:w="0" w:type="auto"/>
            <w:vMerge/>
            <w:tcBorders>
              <w:top w:val="nil"/>
              <w:left w:val="single" w:sz="8" w:space="0" w:color="auto"/>
              <w:bottom w:val="single" w:sz="4" w:space="0" w:color="auto"/>
              <w:right w:val="single" w:sz="4" w:space="0" w:color="auto"/>
            </w:tcBorders>
            <w:vAlign w:val="center"/>
          </w:tcPr>
          <w:p w:rsidR="00120E0F" w:rsidRPr="00FA4FF0" w:rsidRDefault="00120E0F" w:rsidP="00037C05">
            <w:pPr>
              <w:rPr>
                <w:b/>
                <w:bCs/>
                <w:color w:val="000000"/>
                <w:sz w:val="15"/>
                <w:szCs w:val="15"/>
                <w:lang w:eastAsia="es-ES"/>
              </w:rPr>
            </w:pPr>
          </w:p>
        </w:tc>
        <w:tc>
          <w:tcPr>
            <w:tcW w:w="0" w:type="auto"/>
            <w:tcBorders>
              <w:top w:val="nil"/>
              <w:left w:val="nil"/>
              <w:bottom w:val="single" w:sz="4" w:space="0" w:color="auto"/>
              <w:right w:val="single" w:sz="4" w:space="0" w:color="auto"/>
            </w:tcBorders>
            <w:noWrap/>
            <w:vAlign w:val="bottom"/>
          </w:tcPr>
          <w:p w:rsidR="00120E0F" w:rsidRPr="00FA4FF0" w:rsidRDefault="00120E0F" w:rsidP="00037C05">
            <w:pPr>
              <w:jc w:val="center"/>
              <w:rPr>
                <w:b/>
                <w:bCs/>
                <w:color w:val="000000"/>
                <w:sz w:val="15"/>
                <w:szCs w:val="15"/>
                <w:lang w:eastAsia="es-ES"/>
              </w:rPr>
            </w:pPr>
            <w:r w:rsidRPr="00FA4FF0">
              <w:rPr>
                <w:b/>
                <w:bCs/>
                <w:color w:val="000000"/>
                <w:sz w:val="15"/>
                <w:szCs w:val="15"/>
                <w:lang w:eastAsia="es-ES"/>
              </w:rPr>
              <w:t>dic-15</w:t>
            </w:r>
          </w:p>
        </w:tc>
        <w:tc>
          <w:tcPr>
            <w:tcW w:w="0" w:type="auto"/>
            <w:tcBorders>
              <w:top w:val="nil"/>
              <w:left w:val="nil"/>
              <w:bottom w:val="single" w:sz="4" w:space="0" w:color="auto"/>
              <w:right w:val="single" w:sz="4" w:space="0" w:color="auto"/>
            </w:tcBorders>
            <w:noWrap/>
            <w:vAlign w:val="bottom"/>
          </w:tcPr>
          <w:p w:rsidR="00120E0F" w:rsidRPr="00FA4FF0" w:rsidRDefault="00120E0F" w:rsidP="00037C05">
            <w:pPr>
              <w:jc w:val="center"/>
              <w:rPr>
                <w:b/>
                <w:bCs/>
                <w:color w:val="000000"/>
                <w:sz w:val="15"/>
                <w:szCs w:val="15"/>
                <w:lang w:eastAsia="es-ES"/>
              </w:rPr>
            </w:pPr>
            <w:r w:rsidRPr="00FA4FF0">
              <w:rPr>
                <w:b/>
                <w:bCs/>
                <w:color w:val="000000"/>
                <w:sz w:val="15"/>
                <w:szCs w:val="15"/>
                <w:lang w:eastAsia="es-ES"/>
              </w:rPr>
              <w:t>ene-16</w:t>
            </w:r>
          </w:p>
        </w:tc>
      </w:tr>
      <w:tr w:rsidR="00120E0F" w:rsidRPr="00FA4FF0" w:rsidTr="00D249CC">
        <w:trPr>
          <w:trHeight w:val="481"/>
        </w:trPr>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1</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17332</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Lobo Héctor Alberto</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Cabañas</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El Edén</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$62,00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$62,00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Fuera de ejido</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p>
        </w:tc>
      </w:tr>
      <w:tr w:rsidR="00120E0F" w:rsidRPr="00FA4FF0" w:rsidTr="00D249CC">
        <w:trPr>
          <w:trHeight w:val="481"/>
        </w:trPr>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2</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17456</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Gutiérrez Sixto Omar</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Alojamiento</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Mar de las Pampas</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$62,00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$390,00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Fuera de ejido</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p>
        </w:tc>
      </w:tr>
      <w:tr w:rsidR="00120E0F" w:rsidRPr="00FA4FF0" w:rsidTr="00D249CC">
        <w:trPr>
          <w:trHeight w:val="481"/>
        </w:trPr>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17577</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Loss María Rosa</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Complejo</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Punta Sur</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$102,00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$89,00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Fuera de ejido</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p>
        </w:tc>
      </w:tr>
      <w:tr w:rsidR="00120E0F" w:rsidRPr="00FA4FF0" w:rsidTr="00D249CC">
        <w:trPr>
          <w:trHeight w:val="481"/>
        </w:trPr>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19823</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Pérez Marcelo</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Alojamiento</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Placeres de la costa</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$1.285,00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$1.701,00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3740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$965,00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$1.382,00</w:t>
            </w:r>
          </w:p>
        </w:tc>
      </w:tr>
      <w:tr w:rsidR="00120E0F" w:rsidRPr="00FA4FF0" w:rsidTr="00D249CC">
        <w:trPr>
          <w:trHeight w:val="481"/>
        </w:trPr>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21465</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Rivoller Emiliano</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Camping y Playa</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Solar del Este</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$2.073,00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$7.923,00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34333</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$6004,00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$8.598,00</w:t>
            </w:r>
          </w:p>
        </w:tc>
      </w:tr>
      <w:tr w:rsidR="00120E0F" w:rsidRPr="00FA4FF0" w:rsidTr="00D249CC">
        <w:trPr>
          <w:trHeight w:val="481"/>
        </w:trPr>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6</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21526</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Giachello Ignacio</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Camping y Gastronomía</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Puerta del Sol</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$62,00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$935,00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34168</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$3248,00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sz w:val="15"/>
                <w:szCs w:val="15"/>
                <w:lang w:eastAsia="es-ES"/>
              </w:rPr>
            </w:pPr>
            <w:r w:rsidRPr="00FA4FF0">
              <w:rPr>
                <w:sz w:val="15"/>
                <w:szCs w:val="15"/>
                <w:lang w:eastAsia="es-ES"/>
              </w:rPr>
              <w:t>$4.652,00</w:t>
            </w:r>
          </w:p>
        </w:tc>
      </w:tr>
      <w:tr w:rsidR="00120E0F" w:rsidRPr="00FA4FF0" w:rsidTr="00D249CC">
        <w:trPr>
          <w:trHeight w:val="481"/>
        </w:trPr>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7</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28905</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Guidoni Carlos María</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Comería</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Ñandubaysal</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$62,00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$62,00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Fuera de Zona</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p>
        </w:tc>
      </w:tr>
      <w:tr w:rsidR="00120E0F" w:rsidRPr="00FA4FF0" w:rsidTr="00D249CC">
        <w:trPr>
          <w:trHeight w:val="481"/>
        </w:trPr>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8</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11366</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Baus Hugo Oscar</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Camping y Playa</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Ñandubaysal</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$12.765,00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$27.871,00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Fuera de Zona</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p>
        </w:tc>
      </w:tr>
      <w:tr w:rsidR="00120E0F" w:rsidRPr="00FA4FF0" w:rsidTr="00D249CC">
        <w:trPr>
          <w:trHeight w:val="481"/>
        </w:trPr>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9</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24187</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sz w:val="15"/>
                <w:szCs w:val="15"/>
                <w:lang w:eastAsia="es-ES"/>
              </w:rPr>
            </w:pPr>
            <w:r w:rsidRPr="00FA4FF0">
              <w:rPr>
                <w:sz w:val="15"/>
                <w:szCs w:val="15"/>
                <w:lang w:eastAsia="es-ES"/>
              </w:rPr>
              <w:t>Almirón Mariano</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Bungalows</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Altos Verdes</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$818,00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$1.111,00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34195/34196</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$447,00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$640,00</w:t>
            </w:r>
          </w:p>
        </w:tc>
      </w:tr>
      <w:tr w:rsidR="00120E0F" w:rsidRPr="00FA4FF0" w:rsidTr="00D249CC">
        <w:trPr>
          <w:trHeight w:val="481"/>
        </w:trPr>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10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24539</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sz w:val="15"/>
                <w:szCs w:val="15"/>
                <w:lang w:eastAsia="es-ES"/>
              </w:rPr>
            </w:pPr>
            <w:r w:rsidRPr="00FA4FF0">
              <w:rPr>
                <w:sz w:val="15"/>
                <w:szCs w:val="15"/>
                <w:lang w:eastAsia="es-ES"/>
              </w:rPr>
              <w:t>Telechea Jorge</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Bungalows</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Aires de Rio</w:t>
            </w:r>
          </w:p>
        </w:tc>
        <w:tc>
          <w:tcPr>
            <w:tcW w:w="0" w:type="auto"/>
            <w:tcBorders>
              <w:top w:val="single" w:sz="4" w:space="0" w:color="auto"/>
              <w:left w:val="single" w:sz="4" w:space="0" w:color="auto"/>
              <w:bottom w:val="single" w:sz="4" w:space="0" w:color="auto"/>
              <w:right w:val="single" w:sz="4" w:space="0" w:color="auto"/>
            </w:tcBorders>
            <w:noWrap/>
          </w:tcPr>
          <w:p w:rsidR="00120E0F" w:rsidRPr="00FA4FF0" w:rsidRDefault="00120E0F" w:rsidP="00037C05">
            <w:pPr>
              <w:jc w:val="center"/>
              <w:rPr>
                <w:sz w:val="15"/>
                <w:szCs w:val="15"/>
              </w:rPr>
            </w:pPr>
            <w:r w:rsidRPr="00FA4FF0">
              <w:rPr>
                <w:color w:val="000000"/>
                <w:sz w:val="15"/>
                <w:szCs w:val="15"/>
                <w:lang w:eastAsia="es-ES"/>
              </w:rPr>
              <w:t>$62,00</w:t>
            </w:r>
          </w:p>
        </w:tc>
        <w:tc>
          <w:tcPr>
            <w:tcW w:w="0" w:type="auto"/>
            <w:tcBorders>
              <w:top w:val="single" w:sz="4" w:space="0" w:color="auto"/>
              <w:left w:val="single" w:sz="4" w:space="0" w:color="auto"/>
              <w:bottom w:val="single" w:sz="4" w:space="0" w:color="auto"/>
              <w:right w:val="single" w:sz="4" w:space="0" w:color="auto"/>
            </w:tcBorders>
            <w:noWrap/>
          </w:tcPr>
          <w:p w:rsidR="00120E0F" w:rsidRPr="00FA4FF0" w:rsidRDefault="00120E0F" w:rsidP="00037C05">
            <w:pPr>
              <w:jc w:val="center"/>
              <w:rPr>
                <w:sz w:val="15"/>
                <w:szCs w:val="15"/>
              </w:rPr>
            </w:pPr>
            <w:r w:rsidRPr="00FA4FF0">
              <w:rPr>
                <w:color w:val="000000"/>
                <w:sz w:val="15"/>
                <w:szCs w:val="15"/>
                <w:lang w:eastAsia="es-ES"/>
              </w:rPr>
              <w:t>$62,00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Fuera de Zona</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w:t>
            </w:r>
          </w:p>
        </w:tc>
      </w:tr>
      <w:tr w:rsidR="00120E0F" w:rsidRPr="00FA4FF0" w:rsidTr="00D249CC">
        <w:trPr>
          <w:trHeight w:val="481"/>
        </w:trPr>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11</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25118</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Lizzi Marcelo Ramón</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Alojamiento</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Hostería Papaya</w:t>
            </w:r>
          </w:p>
        </w:tc>
        <w:tc>
          <w:tcPr>
            <w:tcW w:w="0" w:type="auto"/>
            <w:tcBorders>
              <w:top w:val="single" w:sz="4" w:space="0" w:color="auto"/>
              <w:left w:val="single" w:sz="4" w:space="0" w:color="auto"/>
              <w:bottom w:val="single" w:sz="4" w:space="0" w:color="auto"/>
              <w:right w:val="single" w:sz="4" w:space="0" w:color="auto"/>
            </w:tcBorders>
            <w:noWrap/>
          </w:tcPr>
          <w:p w:rsidR="00120E0F" w:rsidRPr="00FA4FF0" w:rsidRDefault="00120E0F" w:rsidP="00037C05">
            <w:pPr>
              <w:jc w:val="center"/>
              <w:rPr>
                <w:sz w:val="15"/>
                <w:szCs w:val="15"/>
              </w:rPr>
            </w:pPr>
            <w:r w:rsidRPr="00FA4FF0">
              <w:rPr>
                <w:color w:val="000000"/>
                <w:sz w:val="15"/>
                <w:szCs w:val="15"/>
                <w:lang w:eastAsia="es-ES"/>
              </w:rPr>
              <w:t>$62,00</w:t>
            </w:r>
          </w:p>
        </w:tc>
        <w:tc>
          <w:tcPr>
            <w:tcW w:w="0" w:type="auto"/>
            <w:tcBorders>
              <w:top w:val="single" w:sz="4" w:space="0" w:color="auto"/>
              <w:left w:val="single" w:sz="4" w:space="0" w:color="auto"/>
              <w:bottom w:val="single" w:sz="4" w:space="0" w:color="auto"/>
              <w:right w:val="single" w:sz="4" w:space="0" w:color="auto"/>
            </w:tcBorders>
            <w:noWrap/>
          </w:tcPr>
          <w:p w:rsidR="00120E0F" w:rsidRPr="00FA4FF0" w:rsidRDefault="00120E0F" w:rsidP="00037C05">
            <w:pPr>
              <w:jc w:val="center"/>
              <w:rPr>
                <w:sz w:val="15"/>
                <w:szCs w:val="15"/>
              </w:rPr>
            </w:pPr>
            <w:r w:rsidRPr="00FA4FF0">
              <w:rPr>
                <w:color w:val="000000"/>
                <w:sz w:val="15"/>
                <w:szCs w:val="15"/>
                <w:lang w:eastAsia="es-ES"/>
              </w:rPr>
              <w:t>$62,00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Fuera de Zona</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w:t>
            </w:r>
          </w:p>
        </w:tc>
      </w:tr>
      <w:tr w:rsidR="00120E0F" w:rsidRPr="00FA4FF0" w:rsidTr="00D249CC">
        <w:trPr>
          <w:trHeight w:val="481"/>
        </w:trPr>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12</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26537</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Diaz Bulay</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Alojamiento</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Las Molinas</w:t>
            </w:r>
          </w:p>
        </w:tc>
        <w:tc>
          <w:tcPr>
            <w:tcW w:w="0" w:type="auto"/>
            <w:tcBorders>
              <w:top w:val="single" w:sz="4" w:space="0" w:color="auto"/>
              <w:left w:val="single" w:sz="4" w:space="0" w:color="auto"/>
              <w:bottom w:val="single" w:sz="4" w:space="0" w:color="auto"/>
              <w:right w:val="single" w:sz="4" w:space="0" w:color="auto"/>
            </w:tcBorders>
            <w:noWrap/>
          </w:tcPr>
          <w:p w:rsidR="00120E0F" w:rsidRPr="00FA4FF0" w:rsidRDefault="00120E0F" w:rsidP="00037C05">
            <w:pPr>
              <w:jc w:val="center"/>
              <w:rPr>
                <w:sz w:val="15"/>
                <w:szCs w:val="15"/>
              </w:rPr>
            </w:pPr>
            <w:r w:rsidRPr="00FA4FF0">
              <w:rPr>
                <w:color w:val="000000"/>
                <w:sz w:val="15"/>
                <w:szCs w:val="15"/>
                <w:lang w:eastAsia="es-ES"/>
              </w:rPr>
              <w:t>$62,00</w:t>
            </w:r>
          </w:p>
        </w:tc>
        <w:tc>
          <w:tcPr>
            <w:tcW w:w="0" w:type="auto"/>
            <w:tcBorders>
              <w:top w:val="single" w:sz="4" w:space="0" w:color="auto"/>
              <w:left w:val="single" w:sz="4" w:space="0" w:color="auto"/>
              <w:bottom w:val="single" w:sz="4" w:space="0" w:color="auto"/>
              <w:right w:val="single" w:sz="4" w:space="0" w:color="auto"/>
            </w:tcBorders>
            <w:noWrap/>
          </w:tcPr>
          <w:p w:rsidR="00120E0F" w:rsidRPr="00FA4FF0" w:rsidRDefault="00120E0F" w:rsidP="00037C05">
            <w:pPr>
              <w:jc w:val="center"/>
              <w:rPr>
                <w:sz w:val="15"/>
                <w:szCs w:val="15"/>
              </w:rPr>
            </w:pPr>
            <w:r w:rsidRPr="00FA4FF0">
              <w:rPr>
                <w:color w:val="000000"/>
                <w:sz w:val="15"/>
                <w:szCs w:val="15"/>
                <w:lang w:eastAsia="es-ES"/>
              </w:rPr>
              <w:t>$62,00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Fuera de Zona</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w:t>
            </w:r>
          </w:p>
        </w:tc>
      </w:tr>
      <w:tr w:rsidR="00120E0F" w:rsidRPr="00FA4FF0" w:rsidTr="00D249CC">
        <w:trPr>
          <w:trHeight w:val="481"/>
        </w:trPr>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13</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26970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Bozzano M Elizabeth</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Alojamiento</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Complejo Turístico Ygara</w:t>
            </w:r>
          </w:p>
        </w:tc>
        <w:tc>
          <w:tcPr>
            <w:tcW w:w="0" w:type="auto"/>
            <w:tcBorders>
              <w:top w:val="single" w:sz="4" w:space="0" w:color="auto"/>
              <w:left w:val="single" w:sz="4" w:space="0" w:color="auto"/>
              <w:bottom w:val="single" w:sz="4" w:space="0" w:color="auto"/>
              <w:right w:val="single" w:sz="4" w:space="0" w:color="auto"/>
            </w:tcBorders>
            <w:noWrap/>
          </w:tcPr>
          <w:p w:rsidR="00120E0F" w:rsidRPr="00FA4FF0" w:rsidRDefault="00120E0F" w:rsidP="00037C05">
            <w:pPr>
              <w:jc w:val="center"/>
              <w:rPr>
                <w:sz w:val="15"/>
                <w:szCs w:val="15"/>
              </w:rPr>
            </w:pPr>
            <w:r w:rsidRPr="00FA4FF0">
              <w:rPr>
                <w:color w:val="000000"/>
                <w:sz w:val="15"/>
                <w:szCs w:val="15"/>
                <w:lang w:eastAsia="es-ES"/>
              </w:rPr>
              <w:t>$62,00</w:t>
            </w:r>
          </w:p>
        </w:tc>
        <w:tc>
          <w:tcPr>
            <w:tcW w:w="0" w:type="auto"/>
            <w:tcBorders>
              <w:top w:val="single" w:sz="4" w:space="0" w:color="auto"/>
              <w:left w:val="single" w:sz="4" w:space="0" w:color="auto"/>
              <w:bottom w:val="single" w:sz="4" w:space="0" w:color="auto"/>
              <w:right w:val="single" w:sz="4" w:space="0" w:color="auto"/>
            </w:tcBorders>
            <w:noWrap/>
          </w:tcPr>
          <w:p w:rsidR="00120E0F" w:rsidRPr="00FA4FF0" w:rsidRDefault="00120E0F" w:rsidP="00037C05">
            <w:pPr>
              <w:jc w:val="center"/>
              <w:rPr>
                <w:sz w:val="15"/>
                <w:szCs w:val="15"/>
              </w:rPr>
            </w:pPr>
            <w:r w:rsidRPr="00FA4FF0">
              <w:rPr>
                <w:color w:val="000000"/>
                <w:sz w:val="15"/>
                <w:szCs w:val="15"/>
                <w:lang w:eastAsia="es-ES"/>
              </w:rPr>
              <w:t>$62,00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Nos falta el dato</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p>
        </w:tc>
      </w:tr>
      <w:tr w:rsidR="00120E0F" w:rsidRPr="00FA4FF0" w:rsidTr="00D249CC">
        <w:trPr>
          <w:trHeight w:val="481"/>
        </w:trPr>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14</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17883</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Vezzuci Valeria</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Bungalows</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La Guardería</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$43 ,00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$43,00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Fuera de Zona</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p>
        </w:tc>
      </w:tr>
      <w:tr w:rsidR="00120E0F" w:rsidRPr="00FA4FF0" w:rsidTr="00D249CC">
        <w:trPr>
          <w:trHeight w:val="481"/>
        </w:trPr>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15</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27122</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Avilés José Luis</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Alojamiento</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Atala</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$439, 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$298,00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34197</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$1088,00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$1.558,00</w:t>
            </w:r>
          </w:p>
        </w:tc>
      </w:tr>
      <w:tr w:rsidR="00120E0F" w:rsidRPr="00FA4FF0" w:rsidTr="00D249CC">
        <w:trPr>
          <w:trHeight w:val="481"/>
        </w:trPr>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16</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28383</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sz w:val="15"/>
                <w:szCs w:val="15"/>
                <w:lang w:eastAsia="es-ES"/>
              </w:rPr>
            </w:pPr>
            <w:r w:rsidRPr="00FA4FF0">
              <w:rPr>
                <w:sz w:val="15"/>
                <w:szCs w:val="15"/>
                <w:lang w:eastAsia="es-ES"/>
              </w:rPr>
              <w:t>Cedres Daniel</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Camping</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Costa Alegre</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$68,00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$328,00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34202 -28666</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$195,00</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$279,00</w:t>
            </w:r>
          </w:p>
        </w:tc>
      </w:tr>
      <w:tr w:rsidR="00120E0F" w:rsidRPr="00FA4FF0" w:rsidTr="00D249CC">
        <w:trPr>
          <w:trHeight w:val="481"/>
        </w:trPr>
        <w:tc>
          <w:tcPr>
            <w:tcW w:w="0" w:type="auto"/>
            <w:tcBorders>
              <w:top w:val="single" w:sz="4" w:space="0" w:color="auto"/>
              <w:left w:val="single" w:sz="4" w:space="0" w:color="auto"/>
              <w:bottom w:val="nil"/>
              <w:right w:val="nil"/>
            </w:tcBorders>
            <w:noWrap/>
            <w:vAlign w:val="bottom"/>
          </w:tcPr>
          <w:p w:rsidR="00120E0F" w:rsidRPr="00FA4FF0" w:rsidRDefault="00120E0F" w:rsidP="00037C05">
            <w:pPr>
              <w:jc w:val="center"/>
              <w:rPr>
                <w:color w:val="000000"/>
                <w:sz w:val="15"/>
                <w:szCs w:val="15"/>
                <w:lang w:eastAsia="es-ES"/>
              </w:rPr>
            </w:pPr>
            <w:r w:rsidRPr="00FA4FF0">
              <w:rPr>
                <w:color w:val="000000"/>
                <w:sz w:val="15"/>
                <w:szCs w:val="15"/>
                <w:lang w:eastAsia="es-ES"/>
              </w:rPr>
              <w:t> </w:t>
            </w:r>
          </w:p>
        </w:tc>
        <w:tc>
          <w:tcPr>
            <w:tcW w:w="0" w:type="auto"/>
            <w:tcBorders>
              <w:top w:val="single" w:sz="4" w:space="0" w:color="auto"/>
              <w:left w:val="nil"/>
              <w:bottom w:val="nil"/>
              <w:right w:val="nil"/>
            </w:tcBorders>
            <w:noWrap/>
            <w:vAlign w:val="bottom"/>
          </w:tcPr>
          <w:p w:rsidR="00120E0F" w:rsidRPr="00FA4FF0" w:rsidRDefault="00120E0F" w:rsidP="00037C05">
            <w:pPr>
              <w:jc w:val="center"/>
              <w:rPr>
                <w:color w:val="000000"/>
                <w:sz w:val="15"/>
                <w:szCs w:val="15"/>
                <w:lang w:eastAsia="es-ES"/>
              </w:rPr>
            </w:pPr>
          </w:p>
        </w:tc>
        <w:tc>
          <w:tcPr>
            <w:tcW w:w="0" w:type="auto"/>
            <w:tcBorders>
              <w:top w:val="single" w:sz="4" w:space="0" w:color="auto"/>
              <w:left w:val="nil"/>
              <w:bottom w:val="nil"/>
              <w:right w:val="nil"/>
            </w:tcBorders>
            <w:noWrap/>
            <w:vAlign w:val="bottom"/>
          </w:tcPr>
          <w:p w:rsidR="00120E0F" w:rsidRPr="00FA4FF0" w:rsidRDefault="00120E0F" w:rsidP="00037C05">
            <w:pPr>
              <w:jc w:val="center"/>
              <w:rPr>
                <w:color w:val="000000"/>
                <w:sz w:val="15"/>
                <w:szCs w:val="15"/>
                <w:lang w:eastAsia="es-ES"/>
              </w:rPr>
            </w:pPr>
          </w:p>
        </w:tc>
        <w:tc>
          <w:tcPr>
            <w:tcW w:w="0" w:type="auto"/>
            <w:tcBorders>
              <w:top w:val="single" w:sz="4" w:space="0" w:color="auto"/>
              <w:left w:val="nil"/>
              <w:bottom w:val="nil"/>
              <w:right w:val="single" w:sz="4" w:space="0" w:color="auto"/>
            </w:tcBorders>
            <w:noWrap/>
            <w:vAlign w:val="bottom"/>
          </w:tcPr>
          <w:p w:rsidR="00120E0F" w:rsidRPr="00FA4FF0" w:rsidRDefault="00120E0F" w:rsidP="00037C05">
            <w:pPr>
              <w:jc w:val="center"/>
              <w:rPr>
                <w:color w:val="000000"/>
                <w:sz w:val="15"/>
                <w:szCs w:val="15"/>
                <w:lang w:eastAsia="es-ES"/>
              </w:rPr>
            </w:pPr>
          </w:p>
        </w:tc>
        <w:tc>
          <w:tcPr>
            <w:tcW w:w="0" w:type="auto"/>
            <w:tcBorders>
              <w:top w:val="single" w:sz="4" w:space="0" w:color="auto"/>
              <w:left w:val="single" w:sz="4" w:space="0" w:color="auto"/>
              <w:bottom w:val="single" w:sz="4" w:space="0" w:color="auto"/>
              <w:right w:val="single" w:sz="8" w:space="0" w:color="auto"/>
            </w:tcBorders>
            <w:noWrap/>
            <w:vAlign w:val="bottom"/>
          </w:tcPr>
          <w:p w:rsidR="00120E0F" w:rsidRPr="00FA4FF0" w:rsidRDefault="00120E0F" w:rsidP="00037C05">
            <w:pPr>
              <w:jc w:val="center"/>
              <w:rPr>
                <w:b/>
                <w:bCs/>
                <w:color w:val="000000"/>
                <w:sz w:val="15"/>
                <w:szCs w:val="15"/>
                <w:lang w:eastAsia="es-ES"/>
              </w:rPr>
            </w:pPr>
            <w:r w:rsidRPr="00FA4FF0">
              <w:rPr>
                <w:b/>
                <w:bCs/>
                <w:color w:val="000000"/>
                <w:sz w:val="15"/>
                <w:szCs w:val="15"/>
                <w:lang w:eastAsia="es-ES"/>
              </w:rPr>
              <w:t>Total</w:t>
            </w:r>
          </w:p>
        </w:tc>
        <w:tc>
          <w:tcPr>
            <w:tcW w:w="0" w:type="auto"/>
            <w:tcBorders>
              <w:top w:val="single" w:sz="4" w:space="0" w:color="auto"/>
              <w:left w:val="nil"/>
              <w:bottom w:val="single" w:sz="4" w:space="0" w:color="auto"/>
              <w:right w:val="single" w:sz="4" w:space="0" w:color="auto"/>
            </w:tcBorders>
            <w:noWrap/>
            <w:vAlign w:val="bottom"/>
          </w:tcPr>
          <w:p w:rsidR="00120E0F" w:rsidRPr="00FA4FF0" w:rsidRDefault="00120E0F" w:rsidP="00037C05">
            <w:pPr>
              <w:jc w:val="center"/>
              <w:rPr>
                <w:b/>
                <w:bCs/>
                <w:color w:val="000000"/>
                <w:sz w:val="15"/>
                <w:szCs w:val="15"/>
                <w:lang w:eastAsia="es-ES"/>
              </w:rPr>
            </w:pPr>
            <w:r w:rsidRPr="00FA4FF0">
              <w:rPr>
                <w:b/>
                <w:bCs/>
                <w:color w:val="000000"/>
                <w:sz w:val="15"/>
                <w:szCs w:val="15"/>
                <w:lang w:eastAsia="es-ES"/>
              </w:rPr>
              <w:t>$18.089,00</w:t>
            </w:r>
          </w:p>
        </w:tc>
        <w:tc>
          <w:tcPr>
            <w:tcW w:w="0" w:type="auto"/>
            <w:tcBorders>
              <w:top w:val="single" w:sz="4" w:space="0" w:color="auto"/>
              <w:left w:val="single" w:sz="4" w:space="0" w:color="auto"/>
              <w:bottom w:val="single" w:sz="4" w:space="0" w:color="auto"/>
              <w:right w:val="nil"/>
            </w:tcBorders>
            <w:noWrap/>
            <w:vAlign w:val="bottom"/>
          </w:tcPr>
          <w:p w:rsidR="00120E0F" w:rsidRPr="00FA4FF0" w:rsidRDefault="00120E0F" w:rsidP="00037C05">
            <w:pPr>
              <w:jc w:val="center"/>
              <w:rPr>
                <w:b/>
                <w:bCs/>
                <w:color w:val="000000"/>
                <w:sz w:val="15"/>
                <w:szCs w:val="15"/>
                <w:lang w:eastAsia="es-ES"/>
              </w:rPr>
            </w:pPr>
            <w:r w:rsidRPr="00FA4FF0">
              <w:rPr>
                <w:b/>
                <w:bCs/>
                <w:color w:val="000000"/>
                <w:sz w:val="15"/>
                <w:szCs w:val="15"/>
                <w:lang w:eastAsia="es-ES"/>
              </w:rPr>
              <w:t>$41.062,00</w:t>
            </w:r>
          </w:p>
        </w:tc>
        <w:tc>
          <w:tcPr>
            <w:tcW w:w="0" w:type="auto"/>
            <w:tcBorders>
              <w:top w:val="single" w:sz="4" w:space="0" w:color="auto"/>
              <w:left w:val="single" w:sz="8" w:space="0" w:color="auto"/>
              <w:bottom w:val="single" w:sz="4" w:space="0" w:color="auto"/>
              <w:right w:val="nil"/>
            </w:tcBorders>
            <w:noWrap/>
            <w:vAlign w:val="bottom"/>
          </w:tcPr>
          <w:p w:rsidR="00120E0F" w:rsidRPr="00FA4FF0" w:rsidRDefault="00120E0F" w:rsidP="00037C05">
            <w:pPr>
              <w:jc w:val="center"/>
              <w:rPr>
                <w:b/>
                <w:bCs/>
                <w:color w:val="000000"/>
                <w:sz w:val="15"/>
                <w:szCs w:val="15"/>
                <w:lang w:eastAsia="es-ES"/>
              </w:rPr>
            </w:pPr>
          </w:p>
        </w:tc>
        <w:tc>
          <w:tcPr>
            <w:tcW w:w="0" w:type="auto"/>
            <w:tcBorders>
              <w:top w:val="single" w:sz="4" w:space="0" w:color="auto"/>
              <w:left w:val="single" w:sz="8" w:space="0" w:color="auto"/>
              <w:bottom w:val="single" w:sz="4" w:space="0" w:color="auto"/>
              <w:right w:val="single" w:sz="8" w:space="0" w:color="auto"/>
            </w:tcBorders>
            <w:noWrap/>
            <w:vAlign w:val="bottom"/>
          </w:tcPr>
          <w:p w:rsidR="00120E0F" w:rsidRPr="00FA4FF0" w:rsidRDefault="00120E0F" w:rsidP="00037C05">
            <w:pPr>
              <w:jc w:val="center"/>
              <w:rPr>
                <w:b/>
                <w:bCs/>
                <w:color w:val="000000"/>
                <w:sz w:val="15"/>
                <w:szCs w:val="15"/>
                <w:lang w:eastAsia="es-ES"/>
              </w:rPr>
            </w:pPr>
            <w:r w:rsidRPr="00FA4FF0">
              <w:rPr>
                <w:b/>
                <w:bCs/>
                <w:color w:val="000000"/>
                <w:sz w:val="15"/>
                <w:szCs w:val="15"/>
                <w:lang w:eastAsia="es-ES"/>
              </w:rPr>
              <w:t>$11.948,00</w:t>
            </w:r>
          </w:p>
        </w:tc>
        <w:tc>
          <w:tcPr>
            <w:tcW w:w="0" w:type="auto"/>
            <w:tcBorders>
              <w:top w:val="single" w:sz="4" w:space="0" w:color="auto"/>
              <w:left w:val="nil"/>
              <w:bottom w:val="single" w:sz="4" w:space="0" w:color="auto"/>
              <w:right w:val="single" w:sz="4" w:space="0" w:color="auto"/>
            </w:tcBorders>
            <w:noWrap/>
            <w:vAlign w:val="bottom"/>
          </w:tcPr>
          <w:p w:rsidR="00120E0F" w:rsidRPr="00FA4FF0" w:rsidRDefault="00120E0F" w:rsidP="00037C05">
            <w:pPr>
              <w:jc w:val="center"/>
              <w:rPr>
                <w:b/>
                <w:bCs/>
                <w:color w:val="000000"/>
                <w:sz w:val="15"/>
                <w:szCs w:val="15"/>
                <w:lang w:eastAsia="es-ES"/>
              </w:rPr>
            </w:pPr>
            <w:r w:rsidRPr="00FA4FF0">
              <w:rPr>
                <w:b/>
                <w:bCs/>
                <w:color w:val="000000"/>
                <w:sz w:val="15"/>
                <w:szCs w:val="15"/>
                <w:lang w:eastAsia="es-ES"/>
              </w:rPr>
              <w:t>$17.110,00</w:t>
            </w:r>
          </w:p>
        </w:tc>
      </w:tr>
      <w:tr w:rsidR="00120E0F" w:rsidRPr="00FA4FF0" w:rsidTr="00D249CC">
        <w:trPr>
          <w:trHeight w:val="304"/>
        </w:trPr>
        <w:tc>
          <w:tcPr>
            <w:tcW w:w="0" w:type="auto"/>
            <w:tcBorders>
              <w:top w:val="nil"/>
              <w:left w:val="single" w:sz="4" w:space="0" w:color="auto"/>
              <w:bottom w:val="single" w:sz="4" w:space="0" w:color="auto"/>
              <w:right w:val="nil"/>
            </w:tcBorders>
            <w:noWrap/>
            <w:vAlign w:val="bottom"/>
          </w:tcPr>
          <w:p w:rsidR="00120E0F" w:rsidRPr="00FA4FF0" w:rsidRDefault="00120E0F" w:rsidP="00037C05">
            <w:pPr>
              <w:jc w:val="center"/>
              <w:rPr>
                <w:color w:val="000000"/>
                <w:sz w:val="15"/>
                <w:szCs w:val="15"/>
                <w:lang w:eastAsia="es-ES"/>
              </w:rPr>
            </w:pPr>
          </w:p>
        </w:tc>
        <w:tc>
          <w:tcPr>
            <w:tcW w:w="0" w:type="auto"/>
            <w:tcBorders>
              <w:top w:val="nil"/>
              <w:left w:val="nil"/>
              <w:bottom w:val="single" w:sz="4" w:space="0" w:color="auto"/>
              <w:right w:val="nil"/>
            </w:tcBorders>
            <w:noWrap/>
            <w:vAlign w:val="bottom"/>
          </w:tcPr>
          <w:p w:rsidR="00120E0F" w:rsidRPr="00FA4FF0" w:rsidRDefault="00120E0F" w:rsidP="00037C05">
            <w:pPr>
              <w:jc w:val="center"/>
              <w:rPr>
                <w:color w:val="000000"/>
                <w:sz w:val="15"/>
                <w:szCs w:val="15"/>
                <w:lang w:eastAsia="es-ES"/>
              </w:rPr>
            </w:pPr>
          </w:p>
        </w:tc>
        <w:tc>
          <w:tcPr>
            <w:tcW w:w="0" w:type="auto"/>
            <w:tcBorders>
              <w:top w:val="nil"/>
              <w:left w:val="nil"/>
              <w:bottom w:val="single" w:sz="4" w:space="0" w:color="auto"/>
              <w:right w:val="nil"/>
            </w:tcBorders>
            <w:noWrap/>
            <w:vAlign w:val="bottom"/>
          </w:tcPr>
          <w:p w:rsidR="00120E0F" w:rsidRPr="00FA4FF0" w:rsidRDefault="00120E0F" w:rsidP="00037C05">
            <w:pPr>
              <w:jc w:val="center"/>
              <w:rPr>
                <w:color w:val="000000"/>
                <w:sz w:val="15"/>
                <w:szCs w:val="15"/>
                <w:lang w:eastAsia="es-ES"/>
              </w:rPr>
            </w:pPr>
          </w:p>
        </w:tc>
        <w:tc>
          <w:tcPr>
            <w:tcW w:w="0" w:type="auto"/>
            <w:tcBorders>
              <w:top w:val="nil"/>
              <w:left w:val="nil"/>
              <w:bottom w:val="single" w:sz="4" w:space="0" w:color="auto"/>
              <w:right w:val="single" w:sz="4" w:space="0" w:color="auto"/>
            </w:tcBorders>
            <w:noWrap/>
            <w:vAlign w:val="bottom"/>
          </w:tcPr>
          <w:p w:rsidR="00120E0F" w:rsidRPr="00FA4FF0" w:rsidRDefault="00120E0F" w:rsidP="00037C05">
            <w:pPr>
              <w:jc w:val="center"/>
              <w:rPr>
                <w:color w:val="000000"/>
                <w:sz w:val="15"/>
                <w:szCs w:val="15"/>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center"/>
              <w:rPr>
                <w:b/>
                <w:bCs/>
                <w:color w:val="000000"/>
                <w:sz w:val="18"/>
                <w:szCs w:val="18"/>
                <w:lang w:eastAsia="es-ES"/>
              </w:rPr>
            </w:pPr>
            <w:r w:rsidRPr="00FA4FF0">
              <w:rPr>
                <w:b/>
                <w:bCs/>
                <w:color w:val="000000"/>
                <w:sz w:val="18"/>
                <w:szCs w:val="18"/>
                <w:lang w:eastAsia="es-ES"/>
              </w:rPr>
              <w:t>Total a eximir</w:t>
            </w:r>
          </w:p>
        </w:tc>
        <w:tc>
          <w:tcPr>
            <w:tcW w:w="0" w:type="auto"/>
            <w:tcBorders>
              <w:top w:val="single" w:sz="4" w:space="0" w:color="auto"/>
              <w:left w:val="single" w:sz="4" w:space="0" w:color="auto"/>
              <w:bottom w:val="single" w:sz="4" w:space="0" w:color="auto"/>
              <w:right w:val="single" w:sz="4" w:space="0" w:color="auto"/>
            </w:tcBorders>
            <w:noWrap/>
            <w:vAlign w:val="bottom"/>
          </w:tcPr>
          <w:p w:rsidR="00120E0F" w:rsidRPr="00FA4FF0" w:rsidRDefault="00120E0F" w:rsidP="00037C05">
            <w:pPr>
              <w:jc w:val="right"/>
              <w:rPr>
                <w:b/>
                <w:bCs/>
                <w:color w:val="000000"/>
                <w:sz w:val="18"/>
                <w:szCs w:val="18"/>
                <w:lang w:eastAsia="es-ES"/>
              </w:rPr>
            </w:pPr>
            <w:r w:rsidRPr="00FA4FF0">
              <w:rPr>
                <w:b/>
                <w:bCs/>
                <w:color w:val="000000"/>
                <w:sz w:val="18"/>
                <w:szCs w:val="18"/>
                <w:lang w:eastAsia="es-ES"/>
              </w:rPr>
              <w:t>$88.208,00</w:t>
            </w:r>
          </w:p>
        </w:tc>
        <w:tc>
          <w:tcPr>
            <w:tcW w:w="0" w:type="auto"/>
            <w:tcBorders>
              <w:top w:val="single" w:sz="4" w:space="0" w:color="auto"/>
              <w:left w:val="single" w:sz="4" w:space="0" w:color="auto"/>
              <w:bottom w:val="single" w:sz="4" w:space="0" w:color="auto"/>
            </w:tcBorders>
            <w:noWrap/>
            <w:vAlign w:val="bottom"/>
          </w:tcPr>
          <w:p w:rsidR="00120E0F" w:rsidRPr="00FA4FF0" w:rsidRDefault="00120E0F" w:rsidP="00037C05">
            <w:pPr>
              <w:rPr>
                <w:color w:val="000000"/>
                <w:sz w:val="15"/>
                <w:szCs w:val="15"/>
                <w:lang w:eastAsia="es-ES"/>
              </w:rPr>
            </w:pPr>
          </w:p>
        </w:tc>
        <w:tc>
          <w:tcPr>
            <w:tcW w:w="0" w:type="auto"/>
            <w:tcBorders>
              <w:top w:val="single" w:sz="4" w:space="0" w:color="auto"/>
              <w:bottom w:val="single" w:sz="4" w:space="0" w:color="auto"/>
            </w:tcBorders>
            <w:noWrap/>
            <w:vAlign w:val="bottom"/>
          </w:tcPr>
          <w:p w:rsidR="00120E0F" w:rsidRPr="00FA4FF0" w:rsidRDefault="00120E0F" w:rsidP="00037C05">
            <w:pPr>
              <w:rPr>
                <w:color w:val="000000"/>
                <w:sz w:val="15"/>
                <w:szCs w:val="15"/>
                <w:lang w:eastAsia="es-ES"/>
              </w:rPr>
            </w:pPr>
          </w:p>
        </w:tc>
        <w:tc>
          <w:tcPr>
            <w:tcW w:w="0" w:type="auto"/>
            <w:tcBorders>
              <w:top w:val="single" w:sz="4" w:space="0" w:color="auto"/>
              <w:bottom w:val="single" w:sz="4" w:space="0" w:color="auto"/>
            </w:tcBorders>
            <w:noWrap/>
            <w:vAlign w:val="bottom"/>
          </w:tcPr>
          <w:p w:rsidR="00120E0F" w:rsidRPr="00FA4FF0" w:rsidRDefault="00120E0F" w:rsidP="00037C05">
            <w:pPr>
              <w:rPr>
                <w:color w:val="000000"/>
                <w:sz w:val="15"/>
                <w:szCs w:val="15"/>
                <w:lang w:eastAsia="es-ES"/>
              </w:rPr>
            </w:pPr>
          </w:p>
        </w:tc>
        <w:tc>
          <w:tcPr>
            <w:tcW w:w="0" w:type="auto"/>
            <w:tcBorders>
              <w:top w:val="single" w:sz="4" w:space="0" w:color="auto"/>
              <w:bottom w:val="single" w:sz="4" w:space="0" w:color="auto"/>
              <w:right w:val="single" w:sz="4" w:space="0" w:color="auto"/>
            </w:tcBorders>
            <w:noWrap/>
            <w:vAlign w:val="bottom"/>
          </w:tcPr>
          <w:p w:rsidR="00120E0F" w:rsidRPr="00FA4FF0" w:rsidRDefault="00120E0F" w:rsidP="00037C05">
            <w:pPr>
              <w:rPr>
                <w:color w:val="000000"/>
                <w:sz w:val="15"/>
                <w:szCs w:val="15"/>
                <w:lang w:eastAsia="es-ES"/>
              </w:rPr>
            </w:pPr>
          </w:p>
        </w:tc>
      </w:tr>
    </w:tbl>
    <w:p w:rsidR="00120E0F" w:rsidRDefault="00120E0F" w:rsidP="000C0F2E">
      <w:pPr>
        <w:jc w:val="both"/>
        <w:rPr>
          <w:rFonts w:ascii="Bookman Old Style" w:hAnsi="Bookman Old Style"/>
          <w:sz w:val="24"/>
          <w:szCs w:val="24"/>
          <w:lang w:val="es-ES_tradnl"/>
        </w:rPr>
      </w:pPr>
    </w:p>
    <w:p w:rsidR="00120E0F" w:rsidRDefault="00120E0F" w:rsidP="000C0F2E">
      <w:pPr>
        <w:jc w:val="both"/>
        <w:rPr>
          <w:rFonts w:ascii="Bookman Old Style" w:hAnsi="Bookman Old Style"/>
          <w:b/>
          <w:sz w:val="24"/>
          <w:szCs w:val="24"/>
          <w:lang w:val="es-ES_tradnl"/>
        </w:rPr>
      </w:pPr>
      <w:r w:rsidRPr="00644BC7">
        <w:rPr>
          <w:rFonts w:ascii="Bookman Old Style" w:hAnsi="Bookman Old Style"/>
          <w:b/>
          <w:sz w:val="24"/>
          <w:szCs w:val="24"/>
          <w:u w:val="single"/>
          <w:lang w:val="es-ES_tradnl"/>
        </w:rPr>
        <w:t>Artículo.2º.-</w:t>
      </w:r>
      <w:r w:rsidRPr="00644BC7">
        <w:rPr>
          <w:rFonts w:ascii="Bookman Old Style" w:hAnsi="Bookman Old Style"/>
          <w:b/>
          <w:sz w:val="24"/>
          <w:szCs w:val="24"/>
          <w:lang w:val="es-ES_tradnl"/>
        </w:rPr>
        <w:t xml:space="preserve"> </w:t>
      </w:r>
      <w:r>
        <w:rPr>
          <w:rFonts w:ascii="Bookman Old Style" w:hAnsi="Bookman Old Style"/>
          <w:b/>
          <w:sz w:val="24"/>
          <w:szCs w:val="24"/>
          <w:lang w:val="es-ES_tradnl"/>
        </w:rPr>
        <w:t xml:space="preserve">COMUNIQUESE, </w:t>
      </w:r>
      <w:r w:rsidRPr="00073CC6">
        <w:rPr>
          <w:rFonts w:ascii="Bookman Old Style" w:hAnsi="Bookman Old Style"/>
          <w:sz w:val="24"/>
          <w:szCs w:val="24"/>
          <w:lang w:val="es-ES_tradnl"/>
        </w:rPr>
        <w:t>Publíquese y Archívese.</w:t>
      </w:r>
    </w:p>
    <w:p w:rsidR="00120E0F" w:rsidRDefault="00120E0F" w:rsidP="00073CC6">
      <w:pPr>
        <w:spacing w:after="0"/>
        <w:jc w:val="both"/>
        <w:rPr>
          <w:rFonts w:ascii="Bookman Old Style" w:hAnsi="Bookman Old Style"/>
          <w:b/>
          <w:sz w:val="24"/>
          <w:szCs w:val="24"/>
          <w:lang w:val="es-ES_tradnl"/>
        </w:rPr>
      </w:pPr>
    </w:p>
    <w:p w:rsidR="00120E0F" w:rsidRDefault="00120E0F" w:rsidP="00073CC6">
      <w:pPr>
        <w:spacing w:after="0"/>
        <w:jc w:val="both"/>
        <w:rPr>
          <w:rFonts w:ascii="Bookman Old Style" w:hAnsi="Bookman Old Style"/>
          <w:b/>
          <w:sz w:val="24"/>
          <w:szCs w:val="24"/>
          <w:lang w:val="es-ES_tradnl"/>
        </w:rPr>
      </w:pPr>
    </w:p>
    <w:p w:rsidR="00120E0F" w:rsidRDefault="00120E0F" w:rsidP="00073CC6">
      <w:pPr>
        <w:spacing w:after="0"/>
        <w:jc w:val="both"/>
        <w:rPr>
          <w:rFonts w:ascii="Bookman Old Style" w:hAnsi="Bookman Old Style"/>
          <w:b/>
          <w:sz w:val="24"/>
          <w:szCs w:val="24"/>
          <w:lang w:val="es-ES_tradnl"/>
        </w:rPr>
      </w:pPr>
      <w:r>
        <w:rPr>
          <w:rFonts w:ascii="Bookman Old Style" w:hAnsi="Bookman Old Style"/>
          <w:b/>
          <w:sz w:val="24"/>
          <w:szCs w:val="24"/>
          <w:lang w:val="es-ES_tradnl"/>
        </w:rPr>
        <w:t>Sala de Sesiones. Honorable Concejo Deliberante.</w:t>
      </w:r>
    </w:p>
    <w:p w:rsidR="00120E0F" w:rsidRDefault="00120E0F" w:rsidP="00073CC6">
      <w:pPr>
        <w:spacing w:after="0"/>
        <w:jc w:val="both"/>
        <w:rPr>
          <w:rFonts w:ascii="Bookman Old Style" w:hAnsi="Bookman Old Style"/>
          <w:b/>
          <w:sz w:val="24"/>
          <w:szCs w:val="24"/>
          <w:lang w:val="es-ES_tradnl"/>
        </w:rPr>
      </w:pPr>
      <w:r>
        <w:rPr>
          <w:rFonts w:ascii="Bookman Old Style" w:hAnsi="Bookman Old Style"/>
          <w:b/>
          <w:sz w:val="24"/>
          <w:szCs w:val="24"/>
          <w:lang w:val="es-ES_tradnl"/>
        </w:rPr>
        <w:t>San José de Gualeguaychú, 12 de mayo de 2016.</w:t>
      </w:r>
    </w:p>
    <w:p w:rsidR="00120E0F" w:rsidRPr="00644BC7" w:rsidRDefault="00120E0F" w:rsidP="00073CC6">
      <w:pPr>
        <w:spacing w:after="0"/>
        <w:jc w:val="both"/>
        <w:rPr>
          <w:rFonts w:ascii="Bookman Old Style" w:hAnsi="Bookman Old Style"/>
          <w:b/>
          <w:sz w:val="24"/>
          <w:szCs w:val="24"/>
          <w:lang w:val="es-ES_tradnl"/>
        </w:rPr>
      </w:pPr>
      <w:r>
        <w:rPr>
          <w:rFonts w:ascii="Bookman Old Style" w:hAnsi="Bookman Old Style"/>
          <w:b/>
          <w:sz w:val="24"/>
          <w:szCs w:val="24"/>
          <w:lang w:val="es-ES_tradnl"/>
        </w:rPr>
        <w:t>Jorge F. Maradey, Presidente – Leandro M. Silva, Secretario.</w:t>
      </w:r>
    </w:p>
    <w:p w:rsidR="00120E0F" w:rsidRPr="00E818C1" w:rsidRDefault="00120E0F" w:rsidP="00073CC6">
      <w:pPr>
        <w:spacing w:after="0"/>
        <w:rPr>
          <w:szCs w:val="24"/>
        </w:rPr>
      </w:pPr>
    </w:p>
    <w:sectPr w:rsidR="00120E0F" w:rsidRPr="00E818C1" w:rsidSect="00073CC6">
      <w:headerReference w:type="even" r:id="rId6"/>
      <w:headerReference w:type="default" r:id="rId7"/>
      <w:footerReference w:type="even" r:id="rId8"/>
      <w:footerReference w:type="default" r:id="rId9"/>
      <w:headerReference w:type="first" r:id="rId10"/>
      <w:footerReference w:type="first" r:id="rId11"/>
      <w:pgSz w:w="11906" w:h="16838" w:code="9"/>
      <w:pgMar w:top="2268" w:right="1134" w:bottom="1134"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E0F" w:rsidRDefault="00120E0F" w:rsidP="003232A9">
      <w:pPr>
        <w:spacing w:after="0" w:line="240" w:lineRule="auto"/>
      </w:pPr>
      <w:r>
        <w:separator/>
      </w:r>
    </w:p>
  </w:endnote>
  <w:endnote w:type="continuationSeparator" w:id="0">
    <w:p w:rsidR="00120E0F" w:rsidRDefault="00120E0F" w:rsidP="00323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E0F" w:rsidRPr="003232A9" w:rsidRDefault="00120E0F" w:rsidP="00A71F25">
    <w:pPr>
      <w:pStyle w:val="Footer"/>
      <w:pBdr>
        <w:bottom w:val="single" w:sz="6" w:space="1" w:color="auto"/>
      </w:pBdr>
      <w:rPr>
        <w:rFonts w:ascii="Bookman Old Style" w:hAnsi="Bookman Old Style"/>
        <w:color w:val="404040"/>
        <w:sz w:val="20"/>
        <w:szCs w:val="20"/>
      </w:rPr>
    </w:pPr>
  </w:p>
  <w:p w:rsidR="00120E0F" w:rsidRPr="003232A9" w:rsidRDefault="00120E0F" w:rsidP="00A71F25">
    <w:pPr>
      <w:pStyle w:val="Footer"/>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r>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p>
  <w:p w:rsidR="00120E0F" w:rsidRPr="003232A9" w:rsidRDefault="00120E0F" w:rsidP="00A71F25">
    <w:pPr>
      <w:pStyle w:val="Footer"/>
      <w:rPr>
        <w:rFonts w:ascii="Bookman Old Style" w:hAnsi="Bookman Old Style"/>
        <w:color w:val="7F7F7F"/>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E0F" w:rsidRDefault="00120E0F" w:rsidP="00C261A7">
    <w:pPr>
      <w:pStyle w:val="Footer"/>
      <w:pBdr>
        <w:bottom w:val="single" w:sz="6" w:space="1" w:color="auto"/>
      </w:pBdr>
    </w:pPr>
  </w:p>
  <w:p w:rsidR="00120E0F" w:rsidRDefault="00120E0F" w:rsidP="009B5EAD">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4</w:t>
    </w:r>
    <w:r w:rsidRPr="00A71F25">
      <w:rPr>
        <w:rFonts w:ascii="Bookman Old Style" w:hAnsi="Bookman Old Style"/>
        <w:b/>
        <w:sz w:val="20"/>
        <w:szCs w:val="20"/>
      </w:rPr>
      <w:fldChar w:fldCharType="end"/>
    </w:r>
  </w:p>
  <w:p w:rsidR="00120E0F" w:rsidRPr="00C261A7" w:rsidRDefault="00120E0F" w:rsidP="00C261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E0F" w:rsidRPr="00A71F25" w:rsidRDefault="00120E0F" w:rsidP="003232A9">
    <w:pPr>
      <w:pStyle w:val="Footer"/>
      <w:pBdr>
        <w:bottom w:val="single" w:sz="6" w:space="1" w:color="auto"/>
      </w:pBdr>
      <w:jc w:val="right"/>
    </w:pPr>
  </w:p>
  <w:p w:rsidR="00120E0F" w:rsidRPr="00A71F25" w:rsidRDefault="00120E0F" w:rsidP="003232A9">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4</w:t>
    </w:r>
    <w:r w:rsidRPr="00A71F25">
      <w:rPr>
        <w:rFonts w:ascii="Bookman Old Style" w:hAnsi="Bookman Old Style"/>
        <w:b/>
        <w:sz w:val="20"/>
        <w:szCs w:val="20"/>
      </w:rPr>
      <w:fldChar w:fldCharType="end"/>
    </w:r>
  </w:p>
  <w:p w:rsidR="00120E0F" w:rsidRPr="003232A9" w:rsidRDefault="00120E0F" w:rsidP="003232A9">
    <w:pPr>
      <w:pStyle w:val="Footer"/>
      <w:rPr>
        <w:color w:val="40404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E0F" w:rsidRDefault="00120E0F" w:rsidP="003232A9">
      <w:pPr>
        <w:spacing w:after="0" w:line="240" w:lineRule="auto"/>
      </w:pPr>
      <w:r>
        <w:separator/>
      </w:r>
    </w:p>
  </w:footnote>
  <w:footnote w:type="continuationSeparator" w:id="0">
    <w:p w:rsidR="00120E0F" w:rsidRDefault="00120E0F" w:rsidP="003232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E0F" w:rsidRDefault="00120E0F" w:rsidP="00073CC6">
    <w:pPr>
      <w:pStyle w:val="Header"/>
      <w:tabs>
        <w:tab w:val="clear" w:pos="4252"/>
        <w:tab w:val="clear" w:pos="8504"/>
        <w:tab w:val="left" w:pos="896"/>
      </w:tabs>
      <w:rPr>
        <w:rFonts w:ascii="Bookman Old Style" w:hAnsi="Bookman Old Style"/>
        <w:sz w:val="20"/>
      </w:rPr>
    </w:pPr>
  </w:p>
  <w:p w:rsidR="00120E0F" w:rsidRDefault="00120E0F" w:rsidP="00073CC6">
    <w:pPr>
      <w:pStyle w:val="Header"/>
      <w:tabs>
        <w:tab w:val="clear" w:pos="4252"/>
        <w:tab w:val="clear" w:pos="8504"/>
        <w:tab w:val="left" w:pos="896"/>
      </w:tabs>
      <w:rPr>
        <w:rFonts w:ascii="Bookman Old Style" w:hAnsi="Bookman Old Style"/>
        <w:sz w:val="20"/>
      </w:rPr>
    </w:pPr>
  </w:p>
  <w:p w:rsidR="00120E0F" w:rsidRDefault="00120E0F" w:rsidP="00073CC6">
    <w:pPr>
      <w:pStyle w:val="Header"/>
      <w:tabs>
        <w:tab w:val="clear" w:pos="4252"/>
        <w:tab w:val="clear" w:pos="8504"/>
        <w:tab w:val="left" w:pos="896"/>
      </w:tabs>
      <w:rPr>
        <w:rFonts w:ascii="Bookman Old Style" w:hAnsi="Bookman Old Style"/>
        <w:sz w:val="20"/>
      </w:rPr>
    </w:pPr>
  </w:p>
  <w:p w:rsidR="00120E0F" w:rsidRDefault="00120E0F" w:rsidP="00073CC6">
    <w:pPr>
      <w:pStyle w:val="Header"/>
      <w:tabs>
        <w:tab w:val="clear" w:pos="4252"/>
        <w:tab w:val="clear" w:pos="8504"/>
        <w:tab w:val="left" w:pos="896"/>
      </w:tabs>
      <w:rPr>
        <w:rFonts w:ascii="Bookman Old Style" w:hAnsi="Bookman Old Style"/>
        <w:sz w:val="20"/>
      </w:rPr>
    </w:pPr>
  </w:p>
  <w:p w:rsidR="00120E0F" w:rsidRDefault="00120E0F" w:rsidP="00073CC6">
    <w:pPr>
      <w:pStyle w:val="Header"/>
      <w:tabs>
        <w:tab w:val="clear" w:pos="4252"/>
        <w:tab w:val="clear" w:pos="8504"/>
        <w:tab w:val="left" w:pos="896"/>
      </w:tabs>
      <w:rPr>
        <w:rFonts w:ascii="Bookman Old Style" w:hAnsi="Bookman Old Style"/>
        <w:sz w:val="20"/>
      </w:rPr>
    </w:pPr>
  </w:p>
  <w:p w:rsidR="00120E0F" w:rsidRPr="00073CC6" w:rsidRDefault="00120E0F" w:rsidP="00073CC6">
    <w:pPr>
      <w:pStyle w:val="Header"/>
      <w:tabs>
        <w:tab w:val="clear" w:pos="4252"/>
        <w:tab w:val="clear" w:pos="8504"/>
        <w:tab w:val="left" w:pos="896"/>
      </w:tabs>
      <w:jc w:val="right"/>
    </w:pPr>
    <w:r>
      <w:rPr>
        <w:noProof/>
        <w:lang w:val="es-ES_tradnl" w:eastAsia="es-ES_tradnl"/>
      </w:rPr>
      <w:pict>
        <v:shapetype id="_x0000_t32" coordsize="21600,21600" o:spt="32" o:oned="t" path="m,l21600,21600e" filled="f">
          <v:path arrowok="t" fillok="f" o:connecttype="none"/>
          <o:lock v:ext="edit" shapetype="t"/>
        </v:shapetype>
        <v:shape id="_x0000_s2049" type="#_x0000_t32" style="position:absolute;left:0;text-align:left;margin-left:-.5pt;margin-top:13.85pt;width:432.85pt;height:0;z-index:251660288" o:connectortype="straight"/>
      </w:pict>
    </w:r>
    <w:r w:rsidRPr="00073CC6">
      <w:rPr>
        <w:rFonts w:ascii="Bookman Old Style" w:hAnsi="Bookman Old Style"/>
        <w:sz w:val="20"/>
      </w:rPr>
      <w:t>Ordenanza Nº12</w:t>
    </w:r>
    <w:r>
      <w:rPr>
        <w:rFonts w:ascii="Bookman Old Style" w:hAnsi="Bookman Old Style"/>
        <w:sz w:val="20"/>
      </w:rPr>
      <w:t>.</w:t>
    </w:r>
    <w:r w:rsidRPr="00073CC6">
      <w:rPr>
        <w:rFonts w:ascii="Bookman Old Style" w:hAnsi="Bookman Old Style"/>
        <w:sz w:val="20"/>
      </w:rPr>
      <w:t>032/2016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E0F" w:rsidRDefault="00120E0F" w:rsidP="00A71F25">
    <w:pPr>
      <w:pStyle w:val="Header"/>
      <w:jc w:val="center"/>
    </w:pPr>
  </w:p>
  <w:p w:rsidR="00120E0F" w:rsidRDefault="00120E0F" w:rsidP="00A71F25">
    <w:pPr>
      <w:pStyle w:val="Header"/>
      <w:jc w:val="center"/>
    </w:pPr>
  </w:p>
  <w:p w:rsidR="00120E0F" w:rsidRDefault="00120E0F" w:rsidP="00073CC6">
    <w:pPr>
      <w:pStyle w:val="Header"/>
      <w:jc w:val="right"/>
      <w:rPr>
        <w:b/>
        <w:u w:val="single"/>
      </w:rPr>
    </w:pPr>
  </w:p>
  <w:p w:rsidR="00120E0F" w:rsidRDefault="00120E0F" w:rsidP="00073CC6">
    <w:pPr>
      <w:pStyle w:val="Header"/>
      <w:jc w:val="right"/>
      <w:rPr>
        <w:b/>
        <w:u w:val="single"/>
      </w:rPr>
    </w:pPr>
  </w:p>
  <w:p w:rsidR="00120E0F" w:rsidRPr="00073CC6" w:rsidRDefault="00120E0F" w:rsidP="00073CC6">
    <w:pPr>
      <w:pStyle w:val="Header"/>
      <w:jc w:val="right"/>
      <w:rPr>
        <w:rFonts w:ascii="Bookman Old Style" w:hAnsi="Bookman Old Style"/>
        <w:sz w:val="20"/>
      </w:rPr>
    </w:pPr>
    <w:r>
      <w:rPr>
        <w:noProof/>
        <w:lang w:val="es-ES_tradnl" w:eastAsia="es-ES_tradnl"/>
      </w:rPr>
      <w:pict>
        <v:shapetype id="_x0000_t32" coordsize="21600,21600" o:spt="32" o:oned="t" path="m,l21600,21600e" filled="f">
          <v:path arrowok="t" fillok="f" o:connecttype="none"/>
          <o:lock v:ext="edit" shapetype="t"/>
        </v:shapetype>
        <v:shape id="_x0000_s2050" type="#_x0000_t32" style="position:absolute;left:0;text-align:left;margin-left:-1.9pt;margin-top:17.95pt;width:428.5pt;height:0;z-index:251662336" o:connectortype="straight"/>
      </w:pict>
    </w:r>
    <w:r w:rsidRPr="00073CC6">
      <w:rPr>
        <w:rFonts w:ascii="Bookman Old Style" w:hAnsi="Bookman Old Style"/>
        <w:sz w:val="20"/>
      </w:rPr>
      <w:t>Ordenanza Nº 12.032/2016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E0F" w:rsidRPr="00483ECE" w:rsidRDefault="00120E0F" w:rsidP="00483ECE">
    <w:pPr>
      <w:pStyle w:val="Header"/>
      <w:rPr>
        <w:szCs w:val="20"/>
      </w:rPr>
    </w:pPr>
    <w:r w:rsidRPr="00B21DE1">
      <w:rPr>
        <w:noProof/>
        <w:szCs w:val="20"/>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441pt;height:84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mirrorMargins/>
  <w:defaultTabStop w:val="708"/>
  <w:hyphenationZone w:val="425"/>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2A9"/>
    <w:rsid w:val="00010303"/>
    <w:rsid w:val="00037C05"/>
    <w:rsid w:val="00073CC6"/>
    <w:rsid w:val="00091C5C"/>
    <w:rsid w:val="000A084F"/>
    <w:rsid w:val="000C0E2E"/>
    <w:rsid w:val="000C0F2E"/>
    <w:rsid w:val="000F4D21"/>
    <w:rsid w:val="00120E0F"/>
    <w:rsid w:val="00143537"/>
    <w:rsid w:val="00153341"/>
    <w:rsid w:val="002C7CBD"/>
    <w:rsid w:val="002F1398"/>
    <w:rsid w:val="003232A9"/>
    <w:rsid w:val="0036686B"/>
    <w:rsid w:val="00397D64"/>
    <w:rsid w:val="003B5296"/>
    <w:rsid w:val="0041411F"/>
    <w:rsid w:val="0046533C"/>
    <w:rsid w:val="00483ECE"/>
    <w:rsid w:val="00486D23"/>
    <w:rsid w:val="004C4C1B"/>
    <w:rsid w:val="00542606"/>
    <w:rsid w:val="005505C8"/>
    <w:rsid w:val="005547D7"/>
    <w:rsid w:val="0057663F"/>
    <w:rsid w:val="005B086C"/>
    <w:rsid w:val="005E53D7"/>
    <w:rsid w:val="00644BC7"/>
    <w:rsid w:val="006465C3"/>
    <w:rsid w:val="00656963"/>
    <w:rsid w:val="006611A8"/>
    <w:rsid w:val="006B1798"/>
    <w:rsid w:val="006E7BF5"/>
    <w:rsid w:val="007A122C"/>
    <w:rsid w:val="00820FE7"/>
    <w:rsid w:val="008957BB"/>
    <w:rsid w:val="00910AA9"/>
    <w:rsid w:val="00937D8A"/>
    <w:rsid w:val="00942B37"/>
    <w:rsid w:val="0097194A"/>
    <w:rsid w:val="009732DE"/>
    <w:rsid w:val="009778E0"/>
    <w:rsid w:val="00980474"/>
    <w:rsid w:val="009B5EAD"/>
    <w:rsid w:val="009D5EFF"/>
    <w:rsid w:val="009F1D17"/>
    <w:rsid w:val="00A53A09"/>
    <w:rsid w:val="00A71F25"/>
    <w:rsid w:val="00A73F27"/>
    <w:rsid w:val="00AD08D0"/>
    <w:rsid w:val="00AF14D5"/>
    <w:rsid w:val="00B02FFB"/>
    <w:rsid w:val="00B055C1"/>
    <w:rsid w:val="00B21DE1"/>
    <w:rsid w:val="00B37E50"/>
    <w:rsid w:val="00B5435B"/>
    <w:rsid w:val="00B563CF"/>
    <w:rsid w:val="00B81A8D"/>
    <w:rsid w:val="00B91413"/>
    <w:rsid w:val="00B95E93"/>
    <w:rsid w:val="00B97DAE"/>
    <w:rsid w:val="00BC6291"/>
    <w:rsid w:val="00BD2030"/>
    <w:rsid w:val="00C219BD"/>
    <w:rsid w:val="00C261A7"/>
    <w:rsid w:val="00CB100C"/>
    <w:rsid w:val="00D249CC"/>
    <w:rsid w:val="00D35555"/>
    <w:rsid w:val="00D376E5"/>
    <w:rsid w:val="00D53536"/>
    <w:rsid w:val="00D6724D"/>
    <w:rsid w:val="00E03435"/>
    <w:rsid w:val="00E800AC"/>
    <w:rsid w:val="00E818C1"/>
    <w:rsid w:val="00E87A97"/>
    <w:rsid w:val="00EC12AA"/>
    <w:rsid w:val="00EE1403"/>
    <w:rsid w:val="00F445D3"/>
    <w:rsid w:val="00F5421D"/>
    <w:rsid w:val="00F71FB3"/>
    <w:rsid w:val="00FA12DD"/>
    <w:rsid w:val="00FA4FF0"/>
    <w:rsid w:val="00FA7B18"/>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2A9"/>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3232A9"/>
    <w:rPr>
      <w:rFonts w:cs="Times New Roman"/>
    </w:rPr>
  </w:style>
  <w:style w:type="paragraph" w:styleId="Footer">
    <w:name w:val="footer"/>
    <w:basedOn w:val="Normal"/>
    <w:link w:val="FooterChar"/>
    <w:uiPriority w:val="99"/>
    <w:rsid w:val="003232A9"/>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3232A9"/>
    <w:rPr>
      <w:rFonts w:cs="Times New Roman"/>
    </w:rPr>
  </w:style>
  <w:style w:type="paragraph" w:styleId="BalloonText">
    <w:name w:val="Balloon Text"/>
    <w:basedOn w:val="Normal"/>
    <w:link w:val="BalloonTextChar"/>
    <w:uiPriority w:val="99"/>
    <w:semiHidden/>
    <w:rsid w:val="00483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3E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4</Pages>
  <Words>918</Words>
  <Characters>5049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Nº 12032/2016</dc:title>
  <dc:subject/>
  <dc:creator>Municipalidad</dc:creator>
  <cp:keywords/>
  <dc:description/>
  <cp:lastModifiedBy>CELIA</cp:lastModifiedBy>
  <cp:revision>7</cp:revision>
  <cp:lastPrinted>2016-07-05T13:13:00Z</cp:lastPrinted>
  <dcterms:created xsi:type="dcterms:W3CDTF">2016-05-12T15:42:00Z</dcterms:created>
  <dcterms:modified xsi:type="dcterms:W3CDTF">2016-07-05T13:15:00Z</dcterms:modified>
</cp:coreProperties>
</file>