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D7F" w:rsidRPr="00482B94" w:rsidRDefault="005E7D7F" w:rsidP="00482B94">
      <w:pPr>
        <w:spacing w:before="240" w:line="360" w:lineRule="auto"/>
        <w:jc w:val="right"/>
        <w:rPr>
          <w:rFonts w:ascii="Bookman Old Style" w:hAnsi="Bookman Old Style"/>
          <w:b/>
          <w:sz w:val="24"/>
          <w:szCs w:val="24"/>
          <w:u w:val="single"/>
        </w:rPr>
      </w:pPr>
      <w:r w:rsidRPr="00482B94">
        <w:rPr>
          <w:rFonts w:ascii="Bookman Old Style" w:hAnsi="Bookman Old Style"/>
          <w:b/>
          <w:sz w:val="24"/>
          <w:szCs w:val="24"/>
          <w:u w:val="single"/>
        </w:rPr>
        <w:t>ORDENANZA Nº 12.216/2018.</w:t>
      </w:r>
    </w:p>
    <w:p w:rsidR="005E7D7F" w:rsidRPr="00482B94" w:rsidRDefault="005E7D7F" w:rsidP="00482B94">
      <w:pPr>
        <w:spacing w:before="240" w:line="360" w:lineRule="auto"/>
        <w:jc w:val="right"/>
        <w:rPr>
          <w:rFonts w:ascii="Bookman Old Style" w:hAnsi="Bookman Old Style"/>
          <w:b/>
          <w:sz w:val="24"/>
          <w:szCs w:val="24"/>
          <w:u w:val="single"/>
        </w:rPr>
      </w:pPr>
      <w:r w:rsidRPr="00482B94">
        <w:rPr>
          <w:rFonts w:ascii="Bookman Old Style" w:hAnsi="Bookman Old Style"/>
          <w:b/>
          <w:sz w:val="24"/>
          <w:szCs w:val="24"/>
          <w:u w:val="single"/>
        </w:rPr>
        <w:t>EXPTE.</w:t>
      </w:r>
      <w:r w:rsidR="00482B94" w:rsidRPr="00482B94">
        <w:rPr>
          <w:rFonts w:ascii="Bookman Old Style" w:hAnsi="Bookman Old Style"/>
          <w:b/>
          <w:sz w:val="24"/>
          <w:szCs w:val="24"/>
          <w:u w:val="single"/>
        </w:rPr>
        <w:t xml:space="preserve"> </w:t>
      </w:r>
      <w:r w:rsidRPr="00482B94">
        <w:rPr>
          <w:rFonts w:ascii="Bookman Old Style" w:hAnsi="Bookman Old Style"/>
          <w:b/>
          <w:sz w:val="24"/>
          <w:szCs w:val="24"/>
          <w:u w:val="single"/>
        </w:rPr>
        <w:t>Nº 6104/2018 – H.C.D.</w:t>
      </w:r>
    </w:p>
    <w:p w:rsidR="005E7D7F" w:rsidRPr="00482B94" w:rsidRDefault="005E7D7F" w:rsidP="00482B94">
      <w:pPr>
        <w:spacing w:before="240" w:line="360" w:lineRule="auto"/>
        <w:jc w:val="both"/>
        <w:rPr>
          <w:rFonts w:ascii="Bookman Old Style" w:hAnsi="Bookman Old Style"/>
          <w:b/>
          <w:sz w:val="24"/>
          <w:szCs w:val="24"/>
          <w:u w:val="single"/>
        </w:rPr>
      </w:pPr>
      <w:r w:rsidRPr="00482B94">
        <w:rPr>
          <w:rFonts w:ascii="Bookman Old Style" w:hAnsi="Bookman Old Style"/>
          <w:b/>
          <w:sz w:val="24"/>
          <w:szCs w:val="24"/>
          <w:u w:val="single"/>
        </w:rPr>
        <w:t xml:space="preserve">VISTO:   </w:t>
      </w:r>
    </w:p>
    <w:p w:rsidR="005E7D7F" w:rsidRPr="00482B94" w:rsidRDefault="005E7D7F" w:rsidP="00482B94">
      <w:pPr>
        <w:spacing w:before="240" w:line="360" w:lineRule="auto"/>
        <w:ind w:firstLine="708"/>
        <w:jc w:val="both"/>
        <w:rPr>
          <w:rFonts w:ascii="Bookman Old Style" w:hAnsi="Bookman Old Style"/>
          <w:sz w:val="24"/>
          <w:szCs w:val="24"/>
        </w:rPr>
      </w:pPr>
      <w:r w:rsidRPr="00482B94">
        <w:rPr>
          <w:rFonts w:ascii="Bookman Old Style" w:hAnsi="Bookman Old Style"/>
          <w:sz w:val="24"/>
          <w:szCs w:val="24"/>
        </w:rPr>
        <w:t>El Proyecto de Ordenanza elevado por el Departamento Ejecutivo Municipal que dio origen al expediente Nº6104/2017-HCD caratulado “</w:t>
      </w:r>
      <w:r w:rsidRPr="00482B94">
        <w:rPr>
          <w:rFonts w:ascii="Bookman Old Style" w:hAnsi="Bookman Old Style"/>
          <w:i/>
          <w:sz w:val="24"/>
          <w:szCs w:val="24"/>
        </w:rPr>
        <w:t xml:space="preserve">NOTA REMITIDA POR LA SECRETARIA DE DESARROLLO SOCIAL ELEVANDO PROYECTO DE ORDENANZA S/ PROHIBICION DE  UTILIZACION DE GLIFOSATO EN EL EJIDO DE SAN JOSE DE GUALEGUAYCHU”, </w:t>
      </w:r>
      <w:r w:rsidRPr="00482B94">
        <w:rPr>
          <w:rFonts w:ascii="Bookman Old Style" w:hAnsi="Bookman Old Style"/>
          <w:sz w:val="24"/>
          <w:szCs w:val="24"/>
        </w:rPr>
        <w:t>y;</w:t>
      </w:r>
    </w:p>
    <w:p w:rsidR="005E7D7F" w:rsidRPr="00482B94" w:rsidRDefault="005E7D7F" w:rsidP="00482B94">
      <w:pPr>
        <w:spacing w:before="240" w:line="360" w:lineRule="auto"/>
        <w:jc w:val="both"/>
        <w:rPr>
          <w:rFonts w:ascii="Bookman Old Style" w:hAnsi="Bookman Old Style"/>
          <w:b/>
          <w:sz w:val="24"/>
          <w:szCs w:val="24"/>
          <w:u w:val="single"/>
        </w:rPr>
      </w:pPr>
      <w:r w:rsidRPr="00482B94">
        <w:rPr>
          <w:rFonts w:ascii="Bookman Old Style" w:hAnsi="Bookman Old Style"/>
          <w:b/>
          <w:sz w:val="24"/>
          <w:szCs w:val="24"/>
          <w:u w:val="single"/>
        </w:rPr>
        <w:t>CONSIDERANDO:</w:t>
      </w:r>
    </w:p>
    <w:p w:rsidR="005E7D7F" w:rsidRPr="00482B94" w:rsidRDefault="005E7D7F" w:rsidP="00482B94">
      <w:pPr>
        <w:spacing w:before="240" w:line="360" w:lineRule="auto"/>
        <w:ind w:firstLine="708"/>
        <w:jc w:val="both"/>
        <w:rPr>
          <w:rFonts w:ascii="Bookman Old Style" w:hAnsi="Bookman Old Style"/>
          <w:b/>
          <w:sz w:val="24"/>
          <w:szCs w:val="24"/>
          <w:u w:val="single"/>
        </w:rPr>
      </w:pPr>
      <w:r w:rsidRPr="00482B94">
        <w:rPr>
          <w:rFonts w:ascii="Bookman Old Style" w:hAnsi="Bookman Old Style"/>
          <w:sz w:val="24"/>
          <w:szCs w:val="24"/>
        </w:rPr>
        <w:t>Que la Agencia Internacional para la Investigación sobre el Cáncer (IARC), ámbito especializado de la Organización Mundial de la Salud (OMS), confirmó la vinculación entre el herbicida glifosato y el cáncer, incluyéndose en el Grupo “2A” de principios activos que se “clasifican como probables carcinógenos para los seres humanos” y;</w:t>
      </w:r>
    </w:p>
    <w:p w:rsidR="005E7D7F" w:rsidRPr="00482B94" w:rsidRDefault="005E7D7F" w:rsidP="00482B94">
      <w:pPr>
        <w:spacing w:before="240" w:line="360" w:lineRule="auto"/>
        <w:ind w:firstLine="708"/>
        <w:jc w:val="both"/>
        <w:rPr>
          <w:rFonts w:ascii="Bookman Old Style" w:hAnsi="Bookman Old Style"/>
          <w:sz w:val="24"/>
          <w:szCs w:val="24"/>
        </w:rPr>
      </w:pPr>
      <w:r w:rsidRPr="00482B94">
        <w:rPr>
          <w:rFonts w:ascii="Bookman Old Style" w:hAnsi="Bookman Old Style"/>
          <w:sz w:val="24"/>
          <w:szCs w:val="24"/>
        </w:rPr>
        <w:t>Que esta información ha sido receptada en diversas localidades, municipios y comunas de nuestro país, estableciendo la prohibición expresa del glifosato en campos destinados a la producción de soja transgénica, maíz, girasol, algodón, cítricos, manzana, pera, membrillo, uva, yerba mate, pinos, trigo, entre otros; a lo largo de todo el territorio argentino.</w:t>
      </w:r>
    </w:p>
    <w:p w:rsidR="005E7D7F" w:rsidRPr="00482B94" w:rsidRDefault="005E7D7F" w:rsidP="00482B94">
      <w:pPr>
        <w:spacing w:before="240" w:line="360" w:lineRule="auto"/>
        <w:jc w:val="both"/>
        <w:rPr>
          <w:rFonts w:ascii="Bookman Old Style" w:hAnsi="Bookman Old Style"/>
          <w:sz w:val="24"/>
          <w:szCs w:val="24"/>
        </w:rPr>
      </w:pPr>
      <w:r w:rsidRPr="00482B94">
        <w:rPr>
          <w:rFonts w:ascii="Bookman Old Style" w:hAnsi="Bookman Old Style"/>
          <w:sz w:val="24"/>
          <w:szCs w:val="24"/>
        </w:rPr>
        <w:tab/>
        <w:t xml:space="preserve">Que luego de un año de exhaustivo trabajo de 17 expertos científicos de 11 países, el máximo espacio para el estudio del cáncer de la OMS categorizó al glifosato, agroquímico más utilizado del mundo, pilar del modelo transgénico, en la segunda categoría más alta vinculada a la enfermedad: “Hay pruebas convincentes de que el glifosato puede causar cáncer en animales de laboratorio y hay pruebas </w:t>
      </w:r>
      <w:r w:rsidRPr="00482B94">
        <w:rPr>
          <w:rFonts w:ascii="Bookman Old Style" w:hAnsi="Bookman Old Style"/>
          <w:sz w:val="24"/>
          <w:szCs w:val="24"/>
        </w:rPr>
        <w:lastRenderedPageBreak/>
        <w:t xml:space="preserve">limitadas de </w:t>
      </w:r>
      <w:proofErr w:type="spellStart"/>
      <w:r w:rsidRPr="00482B94">
        <w:rPr>
          <w:rFonts w:ascii="Bookman Old Style" w:hAnsi="Bookman Old Style"/>
          <w:sz w:val="24"/>
          <w:szCs w:val="24"/>
        </w:rPr>
        <w:t>carcinogenia</w:t>
      </w:r>
      <w:proofErr w:type="spellEnd"/>
      <w:r w:rsidRPr="00482B94">
        <w:rPr>
          <w:rFonts w:ascii="Bookman Old Style" w:hAnsi="Bookman Old Style"/>
          <w:sz w:val="24"/>
          <w:szCs w:val="24"/>
        </w:rPr>
        <w:t xml:space="preserve"> en humanos”. La evidencia “limitada” significa que existe una “asociación positiva entre la exposición al producto químico y el cáncer”, pero que no se pueden descartar “otras explicaciones” (Fuente http://www.who.int/countries/arg/es/).</w:t>
      </w:r>
    </w:p>
    <w:p w:rsidR="005E7D7F" w:rsidRPr="00482B94" w:rsidRDefault="005E7D7F" w:rsidP="00482B94">
      <w:pPr>
        <w:spacing w:before="240" w:line="360" w:lineRule="auto"/>
        <w:ind w:firstLine="708"/>
        <w:jc w:val="both"/>
        <w:rPr>
          <w:rFonts w:ascii="Bookman Old Style" w:hAnsi="Bookman Old Style"/>
          <w:sz w:val="24"/>
          <w:szCs w:val="24"/>
        </w:rPr>
      </w:pPr>
      <w:r w:rsidRPr="00482B94">
        <w:rPr>
          <w:rFonts w:ascii="Bookman Old Style" w:hAnsi="Bookman Old Style"/>
          <w:sz w:val="24"/>
          <w:szCs w:val="24"/>
        </w:rPr>
        <w:t>Que en el mismo informe, la IARC-OMS afirmó que el herbicida “causó daño del ADN y los cromosomas en las células humanas”, teniendo esto relación directa con el cáncer y malformaciones, y detalló que se detectó glifosato en agua, en alimentos, en sangre y orina de humanos y que “la reciente clasificación de la IARC-OMS es consecuencia de la creciente evidencia científica generada por diversos investigadores independientes. Esta evidencia, hasta el momento deliberadamente ignorada, implica que se han utilizado millones de litros de un herbicida con potencial carcinogénico con las regulaciones propias de una sustancia prácticamente inocua”.</w:t>
      </w:r>
    </w:p>
    <w:p w:rsidR="005E7D7F" w:rsidRPr="00482B94" w:rsidRDefault="005E7D7F" w:rsidP="00482B94">
      <w:pPr>
        <w:spacing w:before="240" w:line="360" w:lineRule="auto"/>
        <w:jc w:val="both"/>
        <w:rPr>
          <w:rFonts w:ascii="Bookman Old Style" w:hAnsi="Bookman Old Style"/>
          <w:sz w:val="24"/>
          <w:szCs w:val="24"/>
        </w:rPr>
      </w:pPr>
      <w:r w:rsidRPr="00482B94">
        <w:rPr>
          <w:rFonts w:ascii="Bookman Old Style" w:hAnsi="Bookman Old Style"/>
          <w:sz w:val="24"/>
          <w:szCs w:val="24"/>
        </w:rPr>
        <w:tab/>
        <w:t xml:space="preserve">Que los relatores especiales de la ONU, </w:t>
      </w:r>
      <w:proofErr w:type="spellStart"/>
      <w:r w:rsidRPr="00482B94">
        <w:rPr>
          <w:rFonts w:ascii="Bookman Old Style" w:hAnsi="Bookman Old Style"/>
          <w:sz w:val="24"/>
          <w:szCs w:val="24"/>
        </w:rPr>
        <w:t>Hilal</w:t>
      </w:r>
      <w:proofErr w:type="spellEnd"/>
      <w:r w:rsidR="00482B94">
        <w:rPr>
          <w:rFonts w:ascii="Bookman Old Style" w:hAnsi="Bookman Old Style"/>
          <w:sz w:val="24"/>
          <w:szCs w:val="24"/>
        </w:rPr>
        <w:t xml:space="preserve"> </w:t>
      </w:r>
      <w:proofErr w:type="spellStart"/>
      <w:r w:rsidRPr="00482B94">
        <w:rPr>
          <w:rFonts w:ascii="Bookman Old Style" w:hAnsi="Bookman Old Style"/>
          <w:sz w:val="24"/>
          <w:szCs w:val="24"/>
        </w:rPr>
        <w:t>Elver</w:t>
      </w:r>
      <w:proofErr w:type="spellEnd"/>
      <w:r w:rsidRPr="00482B94">
        <w:rPr>
          <w:rFonts w:ascii="Bookman Old Style" w:hAnsi="Bookman Old Style"/>
          <w:sz w:val="24"/>
          <w:szCs w:val="24"/>
        </w:rPr>
        <w:t xml:space="preserve"> y </w:t>
      </w:r>
      <w:proofErr w:type="spellStart"/>
      <w:r w:rsidRPr="00482B94">
        <w:rPr>
          <w:rFonts w:ascii="Bookman Old Style" w:hAnsi="Bookman Old Style"/>
          <w:sz w:val="24"/>
          <w:szCs w:val="24"/>
        </w:rPr>
        <w:t>Baskut</w:t>
      </w:r>
      <w:proofErr w:type="spellEnd"/>
      <w:r w:rsidR="00482B94">
        <w:rPr>
          <w:rFonts w:ascii="Bookman Old Style" w:hAnsi="Bookman Old Style"/>
          <w:sz w:val="24"/>
          <w:szCs w:val="24"/>
        </w:rPr>
        <w:t xml:space="preserve"> </w:t>
      </w:r>
      <w:proofErr w:type="spellStart"/>
      <w:r w:rsidRPr="00482B94">
        <w:rPr>
          <w:rFonts w:ascii="Bookman Old Style" w:hAnsi="Bookman Old Style"/>
          <w:sz w:val="24"/>
          <w:szCs w:val="24"/>
        </w:rPr>
        <w:t>Tuncak</w:t>
      </w:r>
      <w:proofErr w:type="spellEnd"/>
      <w:r w:rsidRPr="00482B94">
        <w:rPr>
          <w:rFonts w:ascii="Bookman Old Style" w:hAnsi="Bookman Old Style"/>
          <w:sz w:val="24"/>
          <w:szCs w:val="24"/>
        </w:rPr>
        <w:t>, presentaron un estudio ante el Consejo de Derechos Humanos (CDH) de Naciones Unidas, el 7/3/2017 en Ginebra en el que manifestaron el peligro del uso de pesticidas, responsable de 200.000 muertes al año por envenenamiento.</w:t>
      </w:r>
    </w:p>
    <w:p w:rsidR="005E7D7F" w:rsidRPr="00482B94" w:rsidRDefault="005E7D7F" w:rsidP="00482B94">
      <w:pPr>
        <w:spacing w:before="240" w:line="360" w:lineRule="auto"/>
        <w:jc w:val="both"/>
        <w:rPr>
          <w:rFonts w:ascii="Bookman Old Style" w:hAnsi="Bookman Old Style"/>
          <w:sz w:val="24"/>
          <w:szCs w:val="24"/>
        </w:rPr>
      </w:pPr>
      <w:r w:rsidRPr="00482B94">
        <w:rPr>
          <w:rFonts w:ascii="Bookman Old Style" w:hAnsi="Bookman Old Style"/>
          <w:sz w:val="24"/>
          <w:szCs w:val="24"/>
        </w:rPr>
        <w:tab/>
        <w:t xml:space="preserve">Que, en consonancia con lo dicho, científicos del CONICET publicaron en 2016 un estudio en el que dictaminaron la presencia de altos niveles de glifosato y su degradación en toda la cuenca del Paraná, </w:t>
      </w:r>
      <w:r w:rsidR="00482B94" w:rsidRPr="00482B94">
        <w:rPr>
          <w:rFonts w:ascii="Bookman Old Style" w:hAnsi="Bookman Old Style" w:cs="Arial"/>
          <w:sz w:val="24"/>
          <w:szCs w:val="24"/>
        </w:rPr>
        <w:t>encontrándose que</w:t>
      </w:r>
      <w:r w:rsidRPr="00482B94">
        <w:rPr>
          <w:rFonts w:ascii="Bookman Old Style" w:hAnsi="Bookman Old Style" w:cs="Arial"/>
          <w:sz w:val="24"/>
          <w:szCs w:val="24"/>
        </w:rPr>
        <w:t xml:space="preserve"> en el fondo de los ríos hay 3 o 4 veces más  partículas de glifosato que en los campos</w:t>
      </w:r>
      <w:r w:rsidRPr="00482B94">
        <w:rPr>
          <w:rFonts w:ascii="Bookman Old Style" w:hAnsi="Bookman Old Style"/>
          <w:sz w:val="24"/>
          <w:szCs w:val="24"/>
        </w:rPr>
        <w:t>.</w:t>
      </w:r>
    </w:p>
    <w:p w:rsidR="005E7D7F" w:rsidRPr="00482B94" w:rsidRDefault="005E7D7F" w:rsidP="00482B94">
      <w:pPr>
        <w:spacing w:before="240" w:line="360" w:lineRule="auto"/>
        <w:jc w:val="both"/>
        <w:rPr>
          <w:rFonts w:ascii="Bookman Old Style" w:hAnsi="Bookman Old Style"/>
          <w:sz w:val="24"/>
          <w:szCs w:val="24"/>
        </w:rPr>
      </w:pPr>
      <w:r w:rsidRPr="00482B94">
        <w:rPr>
          <w:rFonts w:ascii="Bookman Old Style" w:hAnsi="Bookman Old Style"/>
          <w:sz w:val="24"/>
          <w:szCs w:val="24"/>
        </w:rPr>
        <w:tab/>
        <w:t xml:space="preserve">Que, asimismo, existe un estudio realizado por la Facultad de Ciencias Exactas de la Universidad de Buenos Aires del año 2014 (disponible en el sitio web de la Facultad), donde se revela la afectación por exposición al glifosato del sistema nervioso en abejas. (Evaluación de los efectos del glifosato sobre la conducta de la abeja Apis </w:t>
      </w:r>
      <w:proofErr w:type="spellStart"/>
      <w:r w:rsidRPr="00482B94">
        <w:rPr>
          <w:rFonts w:ascii="Bookman Old Style" w:hAnsi="Bookman Old Style"/>
          <w:sz w:val="24"/>
          <w:szCs w:val="24"/>
        </w:rPr>
        <w:t>mellifera</w:t>
      </w:r>
      <w:proofErr w:type="spellEnd"/>
      <w:r w:rsidRPr="00482B94">
        <w:rPr>
          <w:rFonts w:ascii="Bookman Old Style" w:hAnsi="Bookman Old Style"/>
          <w:sz w:val="24"/>
          <w:szCs w:val="24"/>
        </w:rPr>
        <w:t xml:space="preserve">”. </w:t>
      </w:r>
      <w:r w:rsidRPr="00482B94">
        <w:rPr>
          <w:rFonts w:ascii="Bookman Old Style" w:hAnsi="Bookman Old Style"/>
          <w:sz w:val="24"/>
          <w:szCs w:val="24"/>
        </w:rPr>
        <w:lastRenderedPageBreak/>
        <w:t xml:space="preserve">Director: Dr. Walter M. </w:t>
      </w:r>
      <w:proofErr w:type="spellStart"/>
      <w:r w:rsidRPr="00482B94">
        <w:rPr>
          <w:rFonts w:ascii="Bookman Old Style" w:hAnsi="Bookman Old Style"/>
          <w:sz w:val="24"/>
          <w:szCs w:val="24"/>
        </w:rPr>
        <w:t>Farina</w:t>
      </w:r>
      <w:proofErr w:type="spellEnd"/>
      <w:r w:rsidRPr="00482B94">
        <w:rPr>
          <w:rFonts w:ascii="Bookman Old Style" w:hAnsi="Bookman Old Style"/>
          <w:sz w:val="24"/>
          <w:szCs w:val="24"/>
        </w:rPr>
        <w:t xml:space="preserve"> - Facultad de Ciencias Exactas y Naturales, Universidad de Buenos Aires).</w:t>
      </w:r>
    </w:p>
    <w:p w:rsidR="005E7D7F" w:rsidRPr="00482B94" w:rsidRDefault="005E7D7F" w:rsidP="00482B94">
      <w:pPr>
        <w:spacing w:before="240" w:line="360" w:lineRule="auto"/>
        <w:jc w:val="both"/>
        <w:rPr>
          <w:rFonts w:ascii="Bookman Old Style" w:hAnsi="Bookman Old Style"/>
          <w:sz w:val="24"/>
          <w:szCs w:val="24"/>
        </w:rPr>
      </w:pPr>
      <w:r w:rsidRPr="00482B94">
        <w:rPr>
          <w:rFonts w:ascii="Bookman Old Style" w:hAnsi="Bookman Old Style"/>
          <w:sz w:val="24"/>
          <w:szCs w:val="24"/>
        </w:rPr>
        <w:tab/>
        <w:t>Que según estadísticas de la Cámara de Sanidad Agropecuaria y Fertilizantes (</w:t>
      </w:r>
      <w:r w:rsidR="00482B94" w:rsidRPr="00482B94">
        <w:rPr>
          <w:rFonts w:ascii="Bookman Old Style" w:hAnsi="Bookman Old Style"/>
          <w:sz w:val="24"/>
          <w:szCs w:val="24"/>
        </w:rPr>
        <w:t>CASAFE</w:t>
      </w:r>
      <w:r w:rsidRPr="00482B94">
        <w:rPr>
          <w:rFonts w:ascii="Bookman Old Style" w:hAnsi="Bookman Old Style"/>
          <w:sz w:val="24"/>
          <w:szCs w:val="24"/>
        </w:rPr>
        <w:t>), en 2012 se vendieron 182 millones de litros de glifosato. Más de 28 millones de hectáreas fumigadas en Argentina, siendo el agroquímico más utilizado en el país, elemento fundamental a la hora de analizar la problemática y sopesar su prohibición.</w:t>
      </w:r>
    </w:p>
    <w:p w:rsidR="005E7D7F" w:rsidRPr="00482B94" w:rsidRDefault="005E7D7F" w:rsidP="00482B94">
      <w:pPr>
        <w:spacing w:before="240" w:line="360" w:lineRule="auto"/>
        <w:jc w:val="both"/>
        <w:rPr>
          <w:rFonts w:ascii="Bookman Old Style" w:hAnsi="Bookman Old Style"/>
          <w:sz w:val="24"/>
          <w:szCs w:val="24"/>
        </w:rPr>
      </w:pPr>
      <w:r w:rsidRPr="00482B94">
        <w:rPr>
          <w:rFonts w:ascii="Bookman Old Style" w:hAnsi="Bookman Old Style"/>
          <w:sz w:val="24"/>
          <w:szCs w:val="24"/>
        </w:rPr>
        <w:tab/>
        <w:t xml:space="preserve">Que datos estadísticos del ISAAA (International </w:t>
      </w:r>
      <w:proofErr w:type="spellStart"/>
      <w:r w:rsidRPr="00482B94">
        <w:rPr>
          <w:rFonts w:ascii="Bookman Old Style" w:hAnsi="Bookman Old Style"/>
          <w:sz w:val="24"/>
          <w:szCs w:val="24"/>
        </w:rPr>
        <w:t>Service</w:t>
      </w:r>
      <w:proofErr w:type="spellEnd"/>
      <w:r w:rsidR="00482B94">
        <w:rPr>
          <w:rFonts w:ascii="Bookman Old Style" w:hAnsi="Bookman Old Style"/>
          <w:sz w:val="24"/>
          <w:szCs w:val="24"/>
        </w:rPr>
        <w:t xml:space="preserve"> </w:t>
      </w:r>
      <w:proofErr w:type="spellStart"/>
      <w:r w:rsidRPr="00482B94">
        <w:rPr>
          <w:rFonts w:ascii="Bookman Old Style" w:hAnsi="Bookman Old Style"/>
          <w:sz w:val="24"/>
          <w:szCs w:val="24"/>
        </w:rPr>
        <w:t>for</w:t>
      </w:r>
      <w:proofErr w:type="spellEnd"/>
      <w:r w:rsidR="00482B94">
        <w:rPr>
          <w:rFonts w:ascii="Bookman Old Style" w:hAnsi="Bookman Old Style"/>
          <w:sz w:val="24"/>
          <w:szCs w:val="24"/>
        </w:rPr>
        <w:t xml:space="preserve"> </w:t>
      </w:r>
      <w:proofErr w:type="spellStart"/>
      <w:r w:rsidRPr="00482B94">
        <w:rPr>
          <w:rFonts w:ascii="Bookman Old Style" w:hAnsi="Bookman Old Style"/>
          <w:sz w:val="24"/>
          <w:szCs w:val="24"/>
        </w:rPr>
        <w:t>the</w:t>
      </w:r>
      <w:proofErr w:type="spellEnd"/>
      <w:r w:rsidR="00482B94">
        <w:rPr>
          <w:rFonts w:ascii="Bookman Old Style" w:hAnsi="Bookman Old Style"/>
          <w:sz w:val="24"/>
          <w:szCs w:val="24"/>
        </w:rPr>
        <w:t xml:space="preserve"> </w:t>
      </w:r>
      <w:proofErr w:type="spellStart"/>
      <w:r w:rsidRPr="00482B94">
        <w:rPr>
          <w:rFonts w:ascii="Bookman Old Style" w:hAnsi="Bookman Old Style"/>
          <w:sz w:val="24"/>
          <w:szCs w:val="24"/>
        </w:rPr>
        <w:t>Acquisition</w:t>
      </w:r>
      <w:proofErr w:type="spellEnd"/>
      <w:r w:rsidRPr="00482B94">
        <w:rPr>
          <w:rFonts w:ascii="Bookman Old Style" w:hAnsi="Bookman Old Style"/>
          <w:sz w:val="24"/>
          <w:szCs w:val="24"/>
        </w:rPr>
        <w:t xml:space="preserve"> of </w:t>
      </w:r>
      <w:proofErr w:type="spellStart"/>
      <w:r w:rsidRPr="00482B94">
        <w:rPr>
          <w:rFonts w:ascii="Bookman Old Style" w:hAnsi="Bookman Old Style"/>
          <w:sz w:val="24"/>
          <w:szCs w:val="24"/>
        </w:rPr>
        <w:t>Agri</w:t>
      </w:r>
      <w:proofErr w:type="spellEnd"/>
      <w:r w:rsidR="00482B94">
        <w:rPr>
          <w:rFonts w:ascii="Bookman Old Style" w:hAnsi="Bookman Old Style"/>
          <w:sz w:val="24"/>
          <w:szCs w:val="24"/>
        </w:rPr>
        <w:t xml:space="preserve"> </w:t>
      </w:r>
      <w:proofErr w:type="spellStart"/>
      <w:r w:rsidRPr="00482B94">
        <w:rPr>
          <w:rFonts w:ascii="Bookman Old Style" w:hAnsi="Bookman Old Style"/>
          <w:sz w:val="24"/>
          <w:szCs w:val="24"/>
        </w:rPr>
        <w:t>Biotech</w:t>
      </w:r>
      <w:proofErr w:type="spellEnd"/>
      <w:r w:rsidR="00482B94">
        <w:rPr>
          <w:rFonts w:ascii="Bookman Old Style" w:hAnsi="Bookman Old Style"/>
          <w:sz w:val="24"/>
          <w:szCs w:val="24"/>
        </w:rPr>
        <w:t xml:space="preserve"> </w:t>
      </w:r>
      <w:proofErr w:type="spellStart"/>
      <w:r w:rsidRPr="00482B94">
        <w:rPr>
          <w:rFonts w:ascii="Bookman Old Style" w:hAnsi="Bookman Old Style"/>
          <w:sz w:val="24"/>
          <w:szCs w:val="24"/>
        </w:rPr>
        <w:t>Applications</w:t>
      </w:r>
      <w:proofErr w:type="spellEnd"/>
      <w:r w:rsidRPr="00482B94">
        <w:rPr>
          <w:rFonts w:ascii="Bookman Old Style" w:hAnsi="Bookman Old Style"/>
          <w:sz w:val="24"/>
          <w:szCs w:val="24"/>
        </w:rPr>
        <w:t xml:space="preserve">), del 2016 encontró posicionada a Argentina como el tercero en el ranking mundial de producción transgénica con 23.8 millones de hectáreas, viéndose solo superada en la estadística regional por Brasil. </w:t>
      </w:r>
    </w:p>
    <w:p w:rsidR="005E7D7F" w:rsidRPr="00482B94" w:rsidRDefault="005E7D7F" w:rsidP="00482B94">
      <w:pPr>
        <w:spacing w:before="240" w:line="360" w:lineRule="auto"/>
        <w:jc w:val="both"/>
        <w:rPr>
          <w:rFonts w:ascii="Bookman Old Style" w:hAnsi="Bookman Old Style"/>
          <w:sz w:val="24"/>
          <w:szCs w:val="24"/>
        </w:rPr>
      </w:pPr>
      <w:r w:rsidRPr="00482B94">
        <w:rPr>
          <w:rFonts w:ascii="Bookman Old Style" w:hAnsi="Bookman Old Style"/>
          <w:sz w:val="24"/>
          <w:szCs w:val="24"/>
        </w:rPr>
        <w:tab/>
        <w:t>Que por la nueva clasificación, el glifosato es tan cancerígeno como el PCB (compuesto químico que se usaba en los transformadores eléctricos, hoy prohibido) y el formaldehído, ambos miembros del Grupo 2A.</w:t>
      </w:r>
    </w:p>
    <w:p w:rsidR="005E7D7F" w:rsidRPr="00482B94" w:rsidRDefault="005E7D7F" w:rsidP="00482B94">
      <w:pPr>
        <w:spacing w:before="240" w:line="360" w:lineRule="auto"/>
        <w:jc w:val="both"/>
        <w:rPr>
          <w:rFonts w:ascii="Bookman Old Style" w:hAnsi="Bookman Old Style"/>
          <w:sz w:val="24"/>
          <w:szCs w:val="24"/>
        </w:rPr>
      </w:pPr>
      <w:r w:rsidRPr="00482B94">
        <w:rPr>
          <w:rFonts w:ascii="Bookman Old Style" w:hAnsi="Bookman Old Style"/>
          <w:sz w:val="24"/>
          <w:szCs w:val="24"/>
        </w:rPr>
        <w:tab/>
        <w:t xml:space="preserve">Que </w:t>
      </w:r>
      <w:r w:rsidR="00482B94">
        <w:rPr>
          <w:rFonts w:ascii="Bookman Old Style" w:hAnsi="Bookman Old Style"/>
          <w:sz w:val="24"/>
          <w:szCs w:val="24"/>
        </w:rPr>
        <w:t>a</w:t>
      </w:r>
      <w:r w:rsidRPr="00482B94">
        <w:rPr>
          <w:rFonts w:ascii="Bookman Old Style" w:hAnsi="Bookman Old Style"/>
          <w:sz w:val="24"/>
          <w:szCs w:val="24"/>
        </w:rPr>
        <w:t xml:space="preserve"> los proyectos elevados se anexó el exhaustivo trabajo de recopilación realizado por el</w:t>
      </w:r>
      <w:r w:rsidR="00482B94">
        <w:rPr>
          <w:rFonts w:ascii="Bookman Old Style" w:hAnsi="Bookman Old Style"/>
          <w:sz w:val="24"/>
          <w:szCs w:val="24"/>
        </w:rPr>
        <w:t xml:space="preserve"> </w:t>
      </w:r>
      <w:r w:rsidR="00482B94" w:rsidRPr="00482B94">
        <w:rPr>
          <w:rFonts w:ascii="Bookman Old Style" w:hAnsi="Bookman Old Style"/>
          <w:sz w:val="24"/>
          <w:szCs w:val="24"/>
        </w:rPr>
        <w:t>Téc</w:t>
      </w:r>
      <w:r w:rsidR="00482B94">
        <w:rPr>
          <w:rFonts w:ascii="Bookman Old Style" w:hAnsi="Bookman Old Style"/>
          <w:sz w:val="24"/>
          <w:szCs w:val="24"/>
        </w:rPr>
        <w:t>nico</w:t>
      </w:r>
      <w:r w:rsidRPr="00482B94">
        <w:rPr>
          <w:rFonts w:ascii="Bookman Old Style" w:hAnsi="Bookman Old Style"/>
          <w:sz w:val="24"/>
          <w:szCs w:val="24"/>
        </w:rPr>
        <w:t xml:space="preserve"> </w:t>
      </w:r>
      <w:proofErr w:type="spellStart"/>
      <w:r w:rsidRPr="00482B94">
        <w:rPr>
          <w:rFonts w:ascii="Bookman Old Style" w:hAnsi="Bookman Old Style"/>
          <w:sz w:val="24"/>
          <w:szCs w:val="24"/>
        </w:rPr>
        <w:t>Rossi</w:t>
      </w:r>
      <w:proofErr w:type="spellEnd"/>
      <w:r w:rsidRPr="00482B94">
        <w:rPr>
          <w:rFonts w:ascii="Bookman Old Style" w:hAnsi="Bookman Old Style"/>
          <w:sz w:val="24"/>
          <w:szCs w:val="24"/>
        </w:rPr>
        <w:t xml:space="preserve"> Eduardo Martin, intitulado  “BIBLIOGRAFIAS ARGENTINAS SOBREIMPACTOS DE AGROTOXICOS”, donde se encuentran más de 500 citas de literaturas científicas de trabajos de investigaciones</w:t>
      </w:r>
      <w:r w:rsidR="00482B94">
        <w:rPr>
          <w:rFonts w:ascii="Bookman Old Style" w:hAnsi="Bookman Old Style"/>
          <w:sz w:val="24"/>
          <w:szCs w:val="24"/>
        </w:rPr>
        <w:t xml:space="preserve"> </w:t>
      </w:r>
      <w:r w:rsidRPr="00482B94">
        <w:rPr>
          <w:rFonts w:ascii="Bookman Old Style" w:hAnsi="Bookman Old Style"/>
          <w:sz w:val="24"/>
          <w:szCs w:val="24"/>
        </w:rPr>
        <w:t xml:space="preserve">nacionales sobre impactos de </w:t>
      </w:r>
      <w:proofErr w:type="spellStart"/>
      <w:r w:rsidRPr="00482B94">
        <w:rPr>
          <w:rFonts w:ascii="Bookman Old Style" w:hAnsi="Bookman Old Style"/>
          <w:sz w:val="24"/>
          <w:szCs w:val="24"/>
        </w:rPr>
        <w:t>agrotóxicos</w:t>
      </w:r>
      <w:proofErr w:type="spellEnd"/>
      <w:r w:rsidRPr="00482B94">
        <w:rPr>
          <w:rFonts w:ascii="Bookman Old Style" w:hAnsi="Bookman Old Style"/>
          <w:sz w:val="24"/>
          <w:szCs w:val="24"/>
        </w:rPr>
        <w:t xml:space="preserve"> ordenadas por año, por Universidades y</w:t>
      </w:r>
      <w:r w:rsidR="00482B94">
        <w:rPr>
          <w:rFonts w:ascii="Bookman Old Style" w:hAnsi="Bookman Old Style"/>
          <w:sz w:val="24"/>
          <w:szCs w:val="24"/>
        </w:rPr>
        <w:t xml:space="preserve"> </w:t>
      </w:r>
      <w:r w:rsidRPr="00482B94">
        <w:rPr>
          <w:rFonts w:ascii="Bookman Old Style" w:hAnsi="Bookman Old Style"/>
          <w:sz w:val="24"/>
          <w:szCs w:val="24"/>
        </w:rPr>
        <w:t>por cátedras e institutos de Facultades distribuidas en diferentes ciudades de</w:t>
      </w:r>
      <w:r w:rsidR="00482B94">
        <w:rPr>
          <w:rFonts w:ascii="Bookman Old Style" w:hAnsi="Bookman Old Style"/>
          <w:sz w:val="24"/>
          <w:szCs w:val="24"/>
        </w:rPr>
        <w:t xml:space="preserve"> </w:t>
      </w:r>
      <w:r w:rsidRPr="00482B94">
        <w:rPr>
          <w:rFonts w:ascii="Bookman Old Style" w:hAnsi="Bookman Old Style"/>
          <w:sz w:val="24"/>
          <w:szCs w:val="24"/>
        </w:rPr>
        <w:t>provincias de nuestro país, cuya última revisión data del 10 de Abril de 2017 inclusive.</w:t>
      </w:r>
    </w:p>
    <w:p w:rsidR="005E7D7F" w:rsidRPr="00482B94" w:rsidRDefault="005E7D7F" w:rsidP="00482B94">
      <w:pPr>
        <w:spacing w:before="240" w:line="360" w:lineRule="auto"/>
        <w:jc w:val="both"/>
        <w:rPr>
          <w:rFonts w:ascii="Bookman Old Style" w:hAnsi="Bookman Old Style"/>
          <w:sz w:val="24"/>
          <w:szCs w:val="24"/>
        </w:rPr>
      </w:pPr>
      <w:r w:rsidRPr="00482B94">
        <w:rPr>
          <w:rFonts w:ascii="Bookman Old Style" w:hAnsi="Bookman Old Style"/>
          <w:sz w:val="24"/>
          <w:szCs w:val="24"/>
        </w:rPr>
        <w:tab/>
        <w:t xml:space="preserve">Que la utilización del Glifosato se ha incrementado, por desconocimiento de su toxicidad, en nuestra localidad, tanto en la agricultura familiar, como en el desmalezamiento y la </w:t>
      </w:r>
      <w:proofErr w:type="spellStart"/>
      <w:r w:rsidRPr="00482B94">
        <w:rPr>
          <w:rFonts w:ascii="Bookman Old Style" w:hAnsi="Bookman Old Style"/>
          <w:sz w:val="24"/>
          <w:szCs w:val="24"/>
        </w:rPr>
        <w:t>parquización</w:t>
      </w:r>
      <w:proofErr w:type="spellEnd"/>
      <w:r w:rsidRPr="00482B94">
        <w:rPr>
          <w:rFonts w:ascii="Bookman Old Style" w:hAnsi="Bookman Old Style"/>
          <w:sz w:val="24"/>
          <w:szCs w:val="24"/>
        </w:rPr>
        <w:t xml:space="preserve"> de </w:t>
      </w:r>
      <w:r w:rsidRPr="00482B94">
        <w:rPr>
          <w:rFonts w:ascii="Bookman Old Style" w:hAnsi="Bookman Old Style"/>
          <w:sz w:val="24"/>
          <w:szCs w:val="24"/>
        </w:rPr>
        <w:lastRenderedPageBreak/>
        <w:t xml:space="preserve">predios, como así también en la jardinería urbana, por ser un producto “de venta libre” en las </w:t>
      </w:r>
      <w:proofErr w:type="spellStart"/>
      <w:r w:rsidRPr="00482B94">
        <w:rPr>
          <w:rFonts w:ascii="Bookman Old Style" w:hAnsi="Bookman Old Style"/>
          <w:sz w:val="24"/>
          <w:szCs w:val="24"/>
        </w:rPr>
        <w:t>agroveterinarias</w:t>
      </w:r>
      <w:proofErr w:type="spellEnd"/>
      <w:r w:rsidRPr="00482B94">
        <w:rPr>
          <w:rFonts w:ascii="Bookman Old Style" w:hAnsi="Bookman Old Style"/>
          <w:sz w:val="24"/>
          <w:szCs w:val="24"/>
        </w:rPr>
        <w:t xml:space="preserve"> de la ciudad.</w:t>
      </w:r>
    </w:p>
    <w:p w:rsidR="005E7D7F" w:rsidRPr="00482B94" w:rsidRDefault="005E7D7F" w:rsidP="00482B94">
      <w:pPr>
        <w:spacing w:before="240" w:line="360" w:lineRule="auto"/>
        <w:jc w:val="both"/>
        <w:rPr>
          <w:rFonts w:ascii="Bookman Old Style" w:hAnsi="Bookman Old Style"/>
          <w:sz w:val="24"/>
          <w:szCs w:val="24"/>
        </w:rPr>
      </w:pPr>
      <w:r w:rsidRPr="00482B94">
        <w:rPr>
          <w:rFonts w:ascii="Bookman Old Style" w:hAnsi="Bookman Old Style"/>
          <w:sz w:val="24"/>
          <w:szCs w:val="24"/>
        </w:rPr>
        <w:tab/>
        <w:t xml:space="preserve">Que el pueblo de </w:t>
      </w:r>
      <w:proofErr w:type="spellStart"/>
      <w:r w:rsidRPr="00482B94">
        <w:rPr>
          <w:rFonts w:ascii="Bookman Old Style" w:hAnsi="Bookman Old Style"/>
          <w:sz w:val="24"/>
          <w:szCs w:val="24"/>
        </w:rPr>
        <w:t>Gualeguaychú</w:t>
      </w:r>
      <w:proofErr w:type="spellEnd"/>
      <w:r w:rsidRPr="00482B94">
        <w:rPr>
          <w:rFonts w:ascii="Bookman Old Style" w:hAnsi="Bookman Old Style"/>
          <w:sz w:val="24"/>
          <w:szCs w:val="24"/>
        </w:rPr>
        <w:t xml:space="preserve"> ha sido pionero en materia de protección del ambiente con un férreo compromiso in crescendo de su ciudadanía.</w:t>
      </w:r>
    </w:p>
    <w:p w:rsidR="005E7D7F" w:rsidRPr="00482B94" w:rsidRDefault="005E7D7F" w:rsidP="00482B94">
      <w:pPr>
        <w:spacing w:before="240" w:line="360" w:lineRule="auto"/>
        <w:ind w:firstLine="708"/>
        <w:jc w:val="both"/>
        <w:rPr>
          <w:rFonts w:ascii="Bookman Old Style" w:hAnsi="Bookman Old Style" w:cs="Arial"/>
          <w:sz w:val="24"/>
          <w:szCs w:val="24"/>
        </w:rPr>
      </w:pPr>
      <w:r w:rsidRPr="00482B94">
        <w:rPr>
          <w:rFonts w:ascii="Bookman Old Style" w:hAnsi="Bookman Old Style" w:cs="Arial"/>
          <w:sz w:val="24"/>
          <w:szCs w:val="24"/>
        </w:rPr>
        <w:t>Que este Cuerpo Legislativo se ha dado un tratamiento serio y comprometido respecto a la temática. Se han recibido a todos los sectores que lo han solicitado y se ha convocado a todos aquellos actores e instituciones que se consideró relevante en pos de traer sus aportes técnicos-científicos al debate.</w:t>
      </w:r>
    </w:p>
    <w:p w:rsidR="005E7D7F" w:rsidRPr="00482B94" w:rsidRDefault="005E7D7F" w:rsidP="00482B94">
      <w:pPr>
        <w:spacing w:before="240" w:line="360" w:lineRule="auto"/>
        <w:ind w:firstLine="708"/>
        <w:jc w:val="both"/>
        <w:rPr>
          <w:rFonts w:ascii="Bookman Old Style" w:hAnsi="Bookman Old Style" w:cs="Arial"/>
          <w:sz w:val="24"/>
          <w:szCs w:val="24"/>
        </w:rPr>
      </w:pPr>
      <w:r w:rsidRPr="00482B94">
        <w:rPr>
          <w:rFonts w:ascii="Bookman Old Style" w:hAnsi="Bookman Old Style" w:cs="Arial"/>
          <w:sz w:val="24"/>
          <w:szCs w:val="24"/>
        </w:rPr>
        <w:t xml:space="preserve">Que en este sentido, elevados los proyectos de ordenanza por el Departamento Ejecutivo Municipal de prohibición de glifosato y regulación de </w:t>
      </w:r>
      <w:proofErr w:type="spellStart"/>
      <w:r w:rsidRPr="00482B94">
        <w:rPr>
          <w:rFonts w:ascii="Bookman Old Style" w:hAnsi="Bookman Old Style" w:cs="Arial"/>
          <w:sz w:val="24"/>
          <w:szCs w:val="24"/>
        </w:rPr>
        <w:t>agrotóxicos</w:t>
      </w:r>
      <w:proofErr w:type="spellEnd"/>
      <w:r w:rsidRPr="00482B94">
        <w:rPr>
          <w:rFonts w:ascii="Bookman Old Style" w:hAnsi="Bookman Old Style" w:cs="Arial"/>
          <w:sz w:val="24"/>
          <w:szCs w:val="24"/>
        </w:rPr>
        <w:t>, este Cuerpo se avocó inmediatamente al tratamiento de la temática, trazando un cronograma de trabajo más allá del período ordinario del año 2017, que como se mencionara antes, consistía en recibir a los sectores que solicitaban ser escuchados y convocar a los actores técnico-científicos considerados relevantes para el aporte al debate que se propiciaba.-</w:t>
      </w:r>
    </w:p>
    <w:p w:rsidR="005E7D7F" w:rsidRPr="00482B94" w:rsidRDefault="005E7D7F" w:rsidP="00482B94">
      <w:pPr>
        <w:spacing w:before="240" w:line="360" w:lineRule="auto"/>
        <w:ind w:firstLine="708"/>
        <w:jc w:val="both"/>
        <w:rPr>
          <w:rFonts w:ascii="Bookman Old Style" w:hAnsi="Bookman Old Style" w:cs="Arial"/>
          <w:sz w:val="24"/>
          <w:szCs w:val="24"/>
        </w:rPr>
      </w:pPr>
      <w:r w:rsidRPr="00482B94">
        <w:rPr>
          <w:rFonts w:ascii="Bookman Old Style" w:hAnsi="Bookman Old Style" w:cs="Arial"/>
          <w:sz w:val="24"/>
          <w:szCs w:val="24"/>
        </w:rPr>
        <w:t>Que en primer lugar, en el día 19 diciembre de 2017 se convocó al titular y al equipo de trabajo de la Secretaría de Desarrollo Social y Salud Municipal, quienes intervinieron activamente en la redacción del proyecto de ordenanza en tratamiento. Quienes brindaron detalles de la problemática, cómo se pretendía abordar la misma y expusieron fundamentos de los proyectos elevados.-</w:t>
      </w:r>
    </w:p>
    <w:p w:rsidR="005E7D7F" w:rsidRPr="00482B94" w:rsidRDefault="005E7D7F" w:rsidP="00482B94">
      <w:pPr>
        <w:spacing w:before="240" w:line="360" w:lineRule="auto"/>
        <w:ind w:firstLine="708"/>
        <w:jc w:val="both"/>
        <w:rPr>
          <w:rFonts w:ascii="Bookman Old Style" w:hAnsi="Bookman Old Style" w:cs="Arial"/>
          <w:sz w:val="24"/>
          <w:szCs w:val="24"/>
        </w:rPr>
      </w:pPr>
      <w:r w:rsidRPr="00482B94">
        <w:rPr>
          <w:rFonts w:ascii="Bookman Old Style" w:hAnsi="Bookman Old Style" w:cs="Arial"/>
          <w:sz w:val="24"/>
          <w:szCs w:val="24"/>
        </w:rPr>
        <w:t xml:space="preserve">Que posteriormente, desde el mes de diciembre de 2017 al mes de marzo del 2018, en el marco de las comisiones conjuntas se recibió a distintos actores que por su actividad laboral, compromiso profesional y conocimientos técnicos se veían particularmente interesados en el tratamiento de la temática, aportando sus experiencias y </w:t>
      </w:r>
      <w:r w:rsidRPr="00482B94">
        <w:rPr>
          <w:rFonts w:ascii="Bookman Old Style" w:hAnsi="Bookman Old Style" w:cs="Arial"/>
          <w:sz w:val="24"/>
          <w:szCs w:val="24"/>
        </w:rPr>
        <w:lastRenderedPageBreak/>
        <w:t xml:space="preserve">consideraciones, tales como: el Colegio de Profesionales de la Agronomía de la Provincia de Entre Ríos, representantes de empresas del sector comercial de </w:t>
      </w:r>
      <w:proofErr w:type="spellStart"/>
      <w:r w:rsidRPr="00482B94">
        <w:rPr>
          <w:rFonts w:ascii="Bookman Old Style" w:hAnsi="Bookman Old Style" w:cs="Arial"/>
          <w:sz w:val="24"/>
          <w:szCs w:val="24"/>
        </w:rPr>
        <w:t>agroinsumos</w:t>
      </w:r>
      <w:proofErr w:type="spellEnd"/>
      <w:r w:rsidRPr="00482B94">
        <w:rPr>
          <w:rFonts w:ascii="Bookman Old Style" w:hAnsi="Bookman Old Style" w:cs="Arial"/>
          <w:sz w:val="24"/>
          <w:szCs w:val="24"/>
        </w:rPr>
        <w:t xml:space="preserve">, mesa de enlace local (Federación Agraria y Sociedad Rural </w:t>
      </w:r>
      <w:proofErr w:type="spellStart"/>
      <w:r w:rsidRPr="00482B94">
        <w:rPr>
          <w:rFonts w:ascii="Bookman Old Style" w:hAnsi="Bookman Old Style" w:cs="Arial"/>
          <w:sz w:val="24"/>
          <w:szCs w:val="24"/>
        </w:rPr>
        <w:t>Gualeguaychú</w:t>
      </w:r>
      <w:proofErr w:type="spellEnd"/>
      <w:r w:rsidRPr="00482B94">
        <w:rPr>
          <w:rFonts w:ascii="Bookman Old Style" w:hAnsi="Bookman Old Style" w:cs="Arial"/>
          <w:sz w:val="24"/>
          <w:szCs w:val="24"/>
        </w:rPr>
        <w:t xml:space="preserve">), organizaciones ambientales locales (FUNDAVIDA, Asamblea Ciudadana Ambiental </w:t>
      </w:r>
      <w:proofErr w:type="spellStart"/>
      <w:r w:rsidRPr="00482B94">
        <w:rPr>
          <w:rFonts w:ascii="Bookman Old Style" w:hAnsi="Bookman Old Style" w:cs="Arial"/>
          <w:sz w:val="24"/>
          <w:szCs w:val="24"/>
        </w:rPr>
        <w:t>Gualeguaychú</w:t>
      </w:r>
      <w:proofErr w:type="spellEnd"/>
      <w:r w:rsidRPr="00482B94">
        <w:rPr>
          <w:rFonts w:ascii="Bookman Old Style" w:hAnsi="Bookman Old Style" w:cs="Arial"/>
          <w:sz w:val="24"/>
          <w:szCs w:val="24"/>
        </w:rPr>
        <w:t xml:space="preserve">, Salvemos al Río, Vecinos </w:t>
      </w:r>
      <w:proofErr w:type="spellStart"/>
      <w:r w:rsidRPr="00482B94">
        <w:rPr>
          <w:rFonts w:ascii="Bookman Old Style" w:hAnsi="Bookman Old Style" w:cs="Arial"/>
          <w:sz w:val="24"/>
          <w:szCs w:val="24"/>
        </w:rPr>
        <w:t>Autoconvocados</w:t>
      </w:r>
      <w:proofErr w:type="spellEnd"/>
      <w:r w:rsidRPr="00482B94">
        <w:rPr>
          <w:rFonts w:ascii="Bookman Old Style" w:hAnsi="Bookman Old Style" w:cs="Arial"/>
          <w:sz w:val="24"/>
          <w:szCs w:val="24"/>
        </w:rPr>
        <w:t xml:space="preserve">, Colectivo Me hago cargo, entre otras), a la Sra. Natalia Bazán, madre de la niña </w:t>
      </w:r>
      <w:proofErr w:type="spellStart"/>
      <w:r w:rsidRPr="00482B94">
        <w:rPr>
          <w:rFonts w:ascii="Bookman Old Style" w:hAnsi="Bookman Old Style" w:cs="Arial"/>
          <w:sz w:val="24"/>
          <w:szCs w:val="24"/>
        </w:rPr>
        <w:t>Antonela</w:t>
      </w:r>
      <w:proofErr w:type="spellEnd"/>
      <w:r w:rsidRPr="00482B94">
        <w:rPr>
          <w:rFonts w:ascii="Bookman Old Style" w:hAnsi="Bookman Old Style" w:cs="Arial"/>
          <w:sz w:val="24"/>
          <w:szCs w:val="24"/>
        </w:rPr>
        <w:t xml:space="preserve"> González, mesa de enlace provincial (Federación Agraria Entre Ríos, Sociedad Rural, FEDECO y FARER), INTA, SENASA, integrantes del Foro Ambiental </w:t>
      </w:r>
      <w:proofErr w:type="spellStart"/>
      <w:r w:rsidRPr="00482B94">
        <w:rPr>
          <w:rFonts w:ascii="Bookman Old Style" w:hAnsi="Bookman Old Style" w:cs="Arial"/>
          <w:sz w:val="24"/>
          <w:szCs w:val="24"/>
        </w:rPr>
        <w:t>Gualeguaychú</w:t>
      </w:r>
      <w:proofErr w:type="spellEnd"/>
      <w:r w:rsidRPr="00482B94">
        <w:rPr>
          <w:rFonts w:ascii="Bookman Old Style" w:hAnsi="Bookman Old Style" w:cs="Arial"/>
          <w:sz w:val="24"/>
          <w:szCs w:val="24"/>
        </w:rPr>
        <w:t xml:space="preserve">, productores agropecuarios locales, AAPRESID, al Bioquímico Daniel </w:t>
      </w:r>
      <w:proofErr w:type="spellStart"/>
      <w:r w:rsidRPr="00482B94">
        <w:rPr>
          <w:rFonts w:ascii="Bookman Old Style" w:hAnsi="Bookman Old Style" w:cs="Arial"/>
          <w:sz w:val="24"/>
          <w:szCs w:val="24"/>
        </w:rPr>
        <w:t>Verzeñassi</w:t>
      </w:r>
      <w:proofErr w:type="spellEnd"/>
      <w:r w:rsidRPr="00482B94">
        <w:rPr>
          <w:rFonts w:ascii="Bookman Old Style" w:hAnsi="Bookman Old Style" w:cs="Arial"/>
          <w:sz w:val="24"/>
          <w:szCs w:val="24"/>
        </w:rPr>
        <w:t xml:space="preserve">, a la Bióloga Zoóloga Adriana Manzano investigadora del CONICET, al Dr. Damián Marino de la UNLP, representantes de la UADER, al Dr. Marcos </w:t>
      </w:r>
      <w:proofErr w:type="spellStart"/>
      <w:r w:rsidRPr="00482B94">
        <w:rPr>
          <w:rFonts w:ascii="Bookman Old Style" w:hAnsi="Bookman Old Style" w:cs="Arial"/>
          <w:sz w:val="24"/>
          <w:szCs w:val="24"/>
        </w:rPr>
        <w:t>Filardi</w:t>
      </w:r>
      <w:proofErr w:type="spellEnd"/>
      <w:r w:rsidRPr="00482B94">
        <w:rPr>
          <w:rFonts w:ascii="Bookman Old Style" w:hAnsi="Bookman Old Style" w:cs="Arial"/>
          <w:sz w:val="24"/>
          <w:szCs w:val="24"/>
        </w:rPr>
        <w:t>, abogado especialista en Derechos Humanos y Soberanía alimentaria de la UBA, entre otros.</w:t>
      </w:r>
    </w:p>
    <w:p w:rsidR="005E7D7F" w:rsidRPr="00482B94" w:rsidRDefault="005E7D7F" w:rsidP="00482B94">
      <w:pPr>
        <w:spacing w:before="240" w:line="360" w:lineRule="auto"/>
        <w:ind w:firstLine="708"/>
        <w:jc w:val="both"/>
        <w:rPr>
          <w:rFonts w:ascii="Bookman Old Style" w:hAnsi="Bookman Old Style" w:cs="Arial"/>
          <w:sz w:val="24"/>
          <w:szCs w:val="24"/>
        </w:rPr>
      </w:pPr>
      <w:r w:rsidRPr="00482B94">
        <w:rPr>
          <w:rFonts w:ascii="Bookman Old Style" w:hAnsi="Bookman Old Style" w:cs="Arial"/>
          <w:sz w:val="24"/>
          <w:szCs w:val="24"/>
        </w:rPr>
        <w:t xml:space="preserve">Que es necesario destacar asimismo todo este proceso de trabajo que se ha dado el Concejo Deliberante, asumiendo un compromiso con la comunidad que se reflejó en la seriedad del tratamiento de los proyectos de prohibición de glifosato y regulación de </w:t>
      </w:r>
      <w:proofErr w:type="spellStart"/>
      <w:r w:rsidRPr="00482B94">
        <w:rPr>
          <w:rFonts w:ascii="Bookman Old Style" w:hAnsi="Bookman Old Style" w:cs="Arial"/>
          <w:sz w:val="24"/>
          <w:szCs w:val="24"/>
        </w:rPr>
        <w:t>agrotóxicos</w:t>
      </w:r>
      <w:proofErr w:type="spellEnd"/>
      <w:r w:rsidRPr="00482B94">
        <w:rPr>
          <w:rFonts w:ascii="Bookman Old Style" w:hAnsi="Bookman Old Style" w:cs="Arial"/>
          <w:sz w:val="24"/>
          <w:szCs w:val="24"/>
        </w:rPr>
        <w:t>.</w:t>
      </w:r>
    </w:p>
    <w:p w:rsidR="005E7D7F" w:rsidRPr="00482B94" w:rsidRDefault="005E7D7F" w:rsidP="00482B94">
      <w:pPr>
        <w:spacing w:before="240" w:line="360" w:lineRule="auto"/>
        <w:ind w:firstLine="708"/>
        <w:jc w:val="both"/>
        <w:rPr>
          <w:rFonts w:ascii="Bookman Old Style" w:hAnsi="Bookman Old Style" w:cs="Arial"/>
          <w:sz w:val="24"/>
          <w:szCs w:val="24"/>
        </w:rPr>
      </w:pPr>
      <w:r w:rsidRPr="00482B94">
        <w:rPr>
          <w:rFonts w:ascii="Bookman Old Style" w:hAnsi="Bookman Old Style" w:cs="Arial"/>
          <w:sz w:val="24"/>
          <w:szCs w:val="24"/>
        </w:rPr>
        <w:t>Que este Cuerpo propició un debate y un dialogo con la comunidad inédito en la materia, recibiendo a todos los actores interesados, consultando a universidades, científicos, productores, organizaciones sociales y ambientales, entes estatales con conocimiento en la materia, etc.</w:t>
      </w:r>
    </w:p>
    <w:p w:rsidR="005E7D7F" w:rsidRPr="00482B94" w:rsidRDefault="005E7D7F" w:rsidP="00482B94">
      <w:pPr>
        <w:spacing w:before="240" w:line="360" w:lineRule="auto"/>
        <w:ind w:firstLine="708"/>
        <w:jc w:val="both"/>
        <w:rPr>
          <w:rFonts w:ascii="Bookman Old Style" w:hAnsi="Bookman Old Style"/>
          <w:sz w:val="24"/>
          <w:szCs w:val="24"/>
        </w:rPr>
      </w:pPr>
      <w:r w:rsidRPr="00482B94">
        <w:rPr>
          <w:rFonts w:ascii="Bookman Old Style" w:hAnsi="Bookman Old Style" w:cs="Arial"/>
          <w:sz w:val="24"/>
          <w:szCs w:val="24"/>
        </w:rPr>
        <w:t>Que todo este proceso ha dado como fruto que los proyectos en cuestión han sido mejorados a partir de todos los aportes que se han realizado y que este Cuerpo ha recogido.</w:t>
      </w:r>
    </w:p>
    <w:p w:rsidR="005E7D7F" w:rsidRPr="00482B94" w:rsidRDefault="005E7D7F" w:rsidP="00482B94">
      <w:pPr>
        <w:spacing w:before="240" w:line="360" w:lineRule="auto"/>
        <w:ind w:firstLine="708"/>
        <w:jc w:val="both"/>
        <w:rPr>
          <w:rFonts w:ascii="Bookman Old Style" w:hAnsi="Bookman Old Style"/>
          <w:sz w:val="24"/>
          <w:szCs w:val="24"/>
        </w:rPr>
      </w:pPr>
      <w:r w:rsidRPr="00482B94">
        <w:rPr>
          <w:rFonts w:ascii="Bookman Old Style" w:hAnsi="Bookman Old Style"/>
          <w:sz w:val="24"/>
          <w:szCs w:val="24"/>
        </w:rPr>
        <w:lastRenderedPageBreak/>
        <w:t>Que, en consecuencia de todo lo expuesto hasta aquí, también  encontramos normativa de índole provincial y municipal, la cual avala en todo y en partes la iniciativa que se lleva adelante en la presente.</w:t>
      </w:r>
    </w:p>
    <w:p w:rsidR="005E7D7F" w:rsidRPr="00482B94" w:rsidRDefault="005E7D7F" w:rsidP="00482B94">
      <w:pPr>
        <w:spacing w:before="240" w:line="360" w:lineRule="auto"/>
        <w:ind w:firstLine="708"/>
        <w:jc w:val="both"/>
        <w:rPr>
          <w:rFonts w:ascii="Bookman Old Style" w:hAnsi="Bookman Old Style"/>
          <w:sz w:val="24"/>
          <w:szCs w:val="24"/>
        </w:rPr>
      </w:pPr>
      <w:r w:rsidRPr="00482B94">
        <w:rPr>
          <w:rFonts w:ascii="Bookman Old Style" w:hAnsi="Bookman Old Style"/>
          <w:sz w:val="24"/>
          <w:szCs w:val="24"/>
        </w:rPr>
        <w:t>Que la Ley Provincial 10.027 establece específicamente en su Art. 11: “Los municipios tienen todas las competencias expresamente enunciadas en los Art. 240 y 242 de la Constitución Provincial (…) A.4) promover acciones productivas que tiendan a la aplicación de técnicas más eficaces para combatir las plagas y pestes perjudiciales a la agricultura, protegiendo al medio ambiente y la salud de la población.” Asimismo, el inciso C.2 del mismo artículo estipula que los municipios “pueden ejercer la policía higiénica y sanitaria a través de la atención de la salud pública”.</w:t>
      </w:r>
    </w:p>
    <w:p w:rsidR="005E7D7F" w:rsidRPr="00482B94" w:rsidRDefault="005E7D7F" w:rsidP="00482B94">
      <w:pPr>
        <w:spacing w:before="240" w:line="360" w:lineRule="auto"/>
        <w:ind w:firstLine="708"/>
        <w:jc w:val="both"/>
        <w:rPr>
          <w:rFonts w:ascii="Bookman Old Style" w:hAnsi="Bookman Old Style"/>
          <w:sz w:val="24"/>
          <w:szCs w:val="24"/>
        </w:rPr>
      </w:pPr>
      <w:r w:rsidRPr="00482B94">
        <w:rPr>
          <w:rFonts w:ascii="Bookman Old Style" w:hAnsi="Bookman Old Style"/>
          <w:sz w:val="24"/>
          <w:szCs w:val="24"/>
        </w:rPr>
        <w:t>Que la Constitución de la Provincia de Entre Ríos (considerada a nivel nacional como un instrumento legal de vanguardia por su compromiso normativo con la salud pública y el ambiente), introduce en su articulado las siguientes normas; Art. 22: “Todos los habitantes gozan del derecho a vivir en un ambiente sano y equilibrado, apto para el desarrollo humano, donde las actividades sean compatibles con el desarrollo sustentable, para mejorar la calidad de vida y satisfacer las necesidades presentes sin comprometer la de las generaciones futuras. Tienen el deber de preservarlo y mejorarlo, como patrimonio común”. Art. 240: “Los municipios tienen las siguientes competencias (…) 21º. Ejercer el poder de policía y funciones respecto a (…) b) Salud pública, asistencia social y educación, en lo que sea de su competencia.; g) Protección del ambiente, del equilibrio ecológico y la estética paisajística. Podrán ejercer acciones de protección ambiental más allá de sus límites territoriales, en tanto se estén afectando o puedan afectarse los intereses locales”.</w:t>
      </w:r>
    </w:p>
    <w:p w:rsidR="005E7D7F" w:rsidRPr="00482B94" w:rsidRDefault="005E7D7F" w:rsidP="00482B94">
      <w:pPr>
        <w:spacing w:before="240" w:line="360" w:lineRule="auto"/>
        <w:ind w:firstLine="708"/>
        <w:jc w:val="both"/>
        <w:rPr>
          <w:rFonts w:ascii="Bookman Old Style" w:hAnsi="Bookman Old Style"/>
          <w:sz w:val="24"/>
          <w:szCs w:val="24"/>
        </w:rPr>
      </w:pPr>
      <w:r w:rsidRPr="00482B94">
        <w:rPr>
          <w:rFonts w:ascii="Bookman Old Style" w:hAnsi="Bookman Old Style"/>
          <w:sz w:val="24"/>
          <w:szCs w:val="24"/>
        </w:rPr>
        <w:t xml:space="preserve">Que esta normativa antes citada, se inscribe en el ámbito de la normativa nacional, ni más ni menos que bajo el amparo del Art. 41 de </w:t>
      </w:r>
      <w:r w:rsidRPr="00482B94">
        <w:rPr>
          <w:rFonts w:ascii="Bookman Old Style" w:hAnsi="Bookman Old Style"/>
          <w:sz w:val="24"/>
          <w:szCs w:val="24"/>
        </w:rPr>
        <w:lastRenderedPageBreak/>
        <w:t xml:space="preserve">la Constitución Nacional, donde se exhorta terminantemente a tomar medidas que aseguren el cuidado del ambiente y el correcto uso de los recursos bajo el paraguas de la </w:t>
      </w:r>
      <w:proofErr w:type="spellStart"/>
      <w:r w:rsidRPr="00482B94">
        <w:rPr>
          <w:rFonts w:ascii="Bookman Old Style" w:hAnsi="Bookman Old Style"/>
          <w:sz w:val="24"/>
          <w:szCs w:val="24"/>
        </w:rPr>
        <w:t>iuscogens</w:t>
      </w:r>
      <w:proofErr w:type="spellEnd"/>
      <w:r w:rsidRPr="00482B94">
        <w:rPr>
          <w:rFonts w:ascii="Bookman Old Style" w:hAnsi="Bookman Old Style"/>
          <w:sz w:val="24"/>
          <w:szCs w:val="24"/>
        </w:rPr>
        <w:t xml:space="preserve"> de derecho internacional que llama a que las actividades productivas satisfagan las necesidades presentes sin comprometer a las generaciones futuras (equidad intergeneracional). Advirtiendo por demás que, en el caso del tóxico que se prohíbe, el compromiso a la salud de los seres humanos es absolutamente actual.</w:t>
      </w:r>
    </w:p>
    <w:p w:rsidR="005E7D7F" w:rsidRPr="00482B94" w:rsidRDefault="005E7D7F" w:rsidP="00482B94">
      <w:pPr>
        <w:spacing w:before="240" w:line="360" w:lineRule="auto"/>
        <w:ind w:firstLine="708"/>
        <w:jc w:val="both"/>
        <w:rPr>
          <w:rFonts w:ascii="Bookman Old Style" w:hAnsi="Bookman Old Style" w:cs="Arial"/>
          <w:sz w:val="24"/>
          <w:szCs w:val="24"/>
        </w:rPr>
      </w:pPr>
      <w:r w:rsidRPr="00482B94">
        <w:rPr>
          <w:rFonts w:ascii="Bookman Old Style" w:hAnsi="Bookman Old Style" w:cs="Arial"/>
          <w:sz w:val="24"/>
          <w:szCs w:val="24"/>
        </w:rPr>
        <w:t xml:space="preserve">Que el Estado argentino en sus tres estamentos –Nacional, Provincial y Municipal-, tiene la obligación de garantizar el derecho a una alimentación saludable. Así lo indica el bloque de constitucionalidad vigente desde la reforma constitucional del año 1994 que incorporó instrumentos normativos internacionales a través del art. 75 </w:t>
      </w:r>
      <w:proofErr w:type="gramStart"/>
      <w:r w:rsidRPr="00482B94">
        <w:rPr>
          <w:rFonts w:ascii="Bookman Old Style" w:hAnsi="Bookman Old Style" w:cs="Arial"/>
          <w:sz w:val="24"/>
          <w:szCs w:val="24"/>
        </w:rPr>
        <w:t>inc.</w:t>
      </w:r>
      <w:proofErr w:type="gramEnd"/>
      <w:r w:rsidRPr="00482B94">
        <w:rPr>
          <w:rFonts w:ascii="Bookman Old Style" w:hAnsi="Bookman Old Style" w:cs="Arial"/>
          <w:sz w:val="24"/>
          <w:szCs w:val="24"/>
        </w:rPr>
        <w:t xml:space="preserve"> 22 que genera distintas obligaciones para el Estado argentino.</w:t>
      </w:r>
    </w:p>
    <w:p w:rsidR="005E7D7F" w:rsidRPr="00482B94" w:rsidRDefault="005E7D7F" w:rsidP="00482B94">
      <w:pPr>
        <w:spacing w:before="240" w:line="360" w:lineRule="auto"/>
        <w:ind w:firstLine="708"/>
        <w:jc w:val="both"/>
        <w:rPr>
          <w:rFonts w:ascii="Bookman Old Style" w:hAnsi="Bookman Old Style" w:cs="Arial"/>
          <w:i/>
          <w:sz w:val="24"/>
          <w:szCs w:val="24"/>
        </w:rPr>
      </w:pPr>
      <w:r w:rsidRPr="00482B94">
        <w:rPr>
          <w:rFonts w:ascii="Bookman Old Style" w:hAnsi="Bookman Old Style" w:cs="Arial"/>
          <w:sz w:val="24"/>
          <w:szCs w:val="24"/>
        </w:rPr>
        <w:t xml:space="preserve">Que en el fallo del año 2011 en el marco de autos caratulados </w:t>
      </w:r>
      <w:r w:rsidRPr="00482B94">
        <w:rPr>
          <w:rFonts w:ascii="Bookman Old Style" w:hAnsi="Bookman Old Style" w:cs="Arial"/>
          <w:i/>
          <w:sz w:val="24"/>
          <w:szCs w:val="24"/>
        </w:rPr>
        <w:t xml:space="preserve">“Asociación Argentina de Abogados Ambientalistas c/ Provincia de Buenos Aires s/ Acción de Amparo”, </w:t>
      </w:r>
      <w:r w:rsidRPr="00482B94">
        <w:rPr>
          <w:rFonts w:ascii="Bookman Old Style" w:hAnsi="Bookman Old Style" w:cs="Arial"/>
          <w:sz w:val="24"/>
          <w:szCs w:val="24"/>
        </w:rPr>
        <w:t xml:space="preserve">la CSJN en su considerando 5º, expresó que </w:t>
      </w:r>
      <w:r w:rsidRPr="00482B94">
        <w:rPr>
          <w:rFonts w:ascii="Bookman Old Style" w:hAnsi="Bookman Old Style" w:cs="Arial"/>
          <w:i/>
          <w:sz w:val="24"/>
          <w:szCs w:val="24"/>
        </w:rPr>
        <w:t>“corresponde reconocer a las autoridades locales la facultad de aplicar los criterios de protección ambiental que consideren conducentes para el bienestar de la comunidad para la que gobiernan, así como valorar y juzgar si los actos que llevan a cabo sus autoridades, en ejercicio de poderes propios, afectan el bienestar perseguido.”</w:t>
      </w:r>
    </w:p>
    <w:p w:rsidR="005E7D7F" w:rsidRPr="00482B94" w:rsidRDefault="005E7D7F" w:rsidP="00482B94">
      <w:pPr>
        <w:spacing w:before="240" w:line="360" w:lineRule="auto"/>
        <w:ind w:firstLine="708"/>
        <w:jc w:val="both"/>
        <w:rPr>
          <w:rFonts w:ascii="Bookman Old Style" w:hAnsi="Bookman Old Style" w:cs="Arial"/>
          <w:sz w:val="24"/>
          <w:szCs w:val="24"/>
        </w:rPr>
      </w:pPr>
      <w:r w:rsidRPr="00482B94">
        <w:rPr>
          <w:rFonts w:ascii="Bookman Old Style" w:hAnsi="Bookman Old Style" w:cs="Arial"/>
          <w:sz w:val="24"/>
          <w:szCs w:val="24"/>
        </w:rPr>
        <w:t xml:space="preserve">Que el mismo reafirma las facultades municipales para proteger la salud y el ambiente de esta comunidad de </w:t>
      </w:r>
      <w:proofErr w:type="spellStart"/>
      <w:r w:rsidRPr="00482B94">
        <w:rPr>
          <w:rFonts w:ascii="Bookman Old Style" w:hAnsi="Bookman Old Style" w:cs="Arial"/>
          <w:sz w:val="24"/>
          <w:szCs w:val="24"/>
        </w:rPr>
        <w:t>Gualeguaychú</w:t>
      </w:r>
      <w:proofErr w:type="spellEnd"/>
      <w:r w:rsidRPr="00482B94">
        <w:rPr>
          <w:rFonts w:ascii="Bookman Old Style" w:hAnsi="Bookman Old Style" w:cs="Arial"/>
          <w:sz w:val="24"/>
          <w:szCs w:val="24"/>
        </w:rPr>
        <w:t>.-</w:t>
      </w:r>
    </w:p>
    <w:p w:rsidR="005E7D7F" w:rsidRPr="00482B94" w:rsidRDefault="005E7D7F" w:rsidP="00482B94">
      <w:pPr>
        <w:spacing w:before="240" w:line="360" w:lineRule="auto"/>
        <w:ind w:firstLine="708"/>
        <w:jc w:val="both"/>
        <w:rPr>
          <w:rFonts w:ascii="Bookman Old Style" w:hAnsi="Bookman Old Style"/>
          <w:sz w:val="24"/>
          <w:szCs w:val="24"/>
        </w:rPr>
      </w:pPr>
      <w:r w:rsidRPr="00482B94">
        <w:rPr>
          <w:rFonts w:ascii="Bookman Old Style" w:hAnsi="Bookman Old Style"/>
          <w:sz w:val="24"/>
          <w:szCs w:val="24"/>
        </w:rPr>
        <w:t xml:space="preserve">Que finalmente, se destaca que todo lo que hasta aquí se ha expuesto a modo de fundamentación, se encuentra cimentado al amparo del “Principio Precautorio”, el cual tiene fuerza vinculante en la legislación Argentina y ha sido receptado en el Artículo 4 de la Ley </w:t>
      </w:r>
      <w:r w:rsidRPr="00482B94">
        <w:rPr>
          <w:rFonts w:ascii="Bookman Old Style" w:hAnsi="Bookman Old Style"/>
          <w:sz w:val="24"/>
          <w:szCs w:val="24"/>
        </w:rPr>
        <w:lastRenderedPageBreak/>
        <w:t>Nacional N° 25.675 de presupuestos mínimos ambientales, la cual establece: “Cuando haya peligro de daño grave o irreversible la ausencia de información o certeza científica no deberá utilizarse como razón para postergar la adopción de medidas eficaces, en función de los costos, para impedir la degradación del medio ambiente”.</w:t>
      </w:r>
    </w:p>
    <w:p w:rsidR="005E7D7F" w:rsidRPr="00482B94" w:rsidRDefault="005E7D7F" w:rsidP="00482B94">
      <w:pPr>
        <w:spacing w:before="240" w:line="360" w:lineRule="auto"/>
        <w:ind w:firstLine="708"/>
        <w:jc w:val="both"/>
        <w:rPr>
          <w:rFonts w:ascii="Bookman Old Style" w:hAnsi="Bookman Old Style"/>
          <w:sz w:val="24"/>
          <w:szCs w:val="24"/>
        </w:rPr>
      </w:pPr>
      <w:r w:rsidRPr="00482B94">
        <w:rPr>
          <w:rFonts w:ascii="Bookman Old Style" w:hAnsi="Bookman Old Style"/>
          <w:sz w:val="24"/>
          <w:szCs w:val="24"/>
        </w:rPr>
        <w:t>Que como corolario a lo expuesto, se destaca que recientemente, la Unión Europea (U.E.) ha aconsejado que no se compren más productos que contengan residuos de Glifosato.</w:t>
      </w:r>
    </w:p>
    <w:p w:rsidR="005E7D7F" w:rsidRPr="00482B94" w:rsidRDefault="005E7D7F" w:rsidP="00482B94">
      <w:pPr>
        <w:spacing w:before="240" w:line="360" w:lineRule="auto"/>
        <w:jc w:val="both"/>
        <w:rPr>
          <w:rFonts w:ascii="Bookman Old Style" w:hAnsi="Bookman Old Style"/>
          <w:b/>
          <w:sz w:val="24"/>
          <w:szCs w:val="24"/>
          <w:u w:val="single"/>
        </w:rPr>
      </w:pPr>
      <w:r w:rsidRPr="00482B94">
        <w:rPr>
          <w:rFonts w:ascii="Bookman Old Style" w:hAnsi="Bookman Old Style"/>
          <w:b/>
          <w:sz w:val="24"/>
          <w:szCs w:val="24"/>
          <w:u w:val="single"/>
        </w:rPr>
        <w:t>POR ELLO:</w:t>
      </w:r>
    </w:p>
    <w:p w:rsidR="005E7D7F" w:rsidRPr="00482B94" w:rsidRDefault="005E7D7F" w:rsidP="00482B94">
      <w:pPr>
        <w:spacing w:before="240" w:line="360" w:lineRule="auto"/>
        <w:jc w:val="center"/>
        <w:rPr>
          <w:rFonts w:ascii="Bookman Old Style" w:hAnsi="Bookman Old Style"/>
          <w:b/>
          <w:sz w:val="24"/>
          <w:szCs w:val="24"/>
        </w:rPr>
      </w:pPr>
      <w:r w:rsidRPr="00482B94">
        <w:rPr>
          <w:rFonts w:ascii="Bookman Old Style" w:hAnsi="Bookman Old Style"/>
          <w:b/>
          <w:sz w:val="24"/>
          <w:szCs w:val="24"/>
        </w:rPr>
        <w:t>EL HONORABLE CONCEJO DELIBERANTE DE LA MUNICIPALIDAD DE SAN JOSE DE GUALEGUAYCHU SANCIONA LA SIGUIENTE</w:t>
      </w:r>
    </w:p>
    <w:p w:rsidR="005E7D7F" w:rsidRPr="00482B94" w:rsidRDefault="005E7D7F" w:rsidP="00482B94">
      <w:pPr>
        <w:spacing w:before="240" w:line="360" w:lineRule="auto"/>
        <w:jc w:val="center"/>
        <w:rPr>
          <w:rFonts w:ascii="Bookman Old Style" w:hAnsi="Bookman Old Style"/>
          <w:b/>
          <w:sz w:val="24"/>
          <w:szCs w:val="24"/>
          <w:u w:val="single"/>
        </w:rPr>
      </w:pPr>
      <w:r w:rsidRPr="00482B94">
        <w:rPr>
          <w:rFonts w:ascii="Bookman Old Style" w:hAnsi="Bookman Old Style"/>
          <w:b/>
          <w:sz w:val="24"/>
          <w:szCs w:val="24"/>
          <w:u w:val="single"/>
        </w:rPr>
        <w:t>ORDENANZA</w:t>
      </w:r>
    </w:p>
    <w:p w:rsidR="005E7D7F" w:rsidRPr="00482B94" w:rsidRDefault="005E7D7F" w:rsidP="00482B94">
      <w:pPr>
        <w:spacing w:before="240" w:line="360" w:lineRule="auto"/>
        <w:jc w:val="both"/>
        <w:rPr>
          <w:rFonts w:ascii="Bookman Old Style" w:hAnsi="Bookman Old Style"/>
          <w:sz w:val="24"/>
          <w:szCs w:val="24"/>
        </w:rPr>
      </w:pPr>
      <w:r w:rsidRPr="00482B94">
        <w:rPr>
          <w:rFonts w:ascii="Bookman Old Style" w:hAnsi="Bookman Old Style"/>
          <w:b/>
          <w:sz w:val="24"/>
          <w:szCs w:val="24"/>
          <w:u w:val="single"/>
        </w:rPr>
        <w:t>ARTÍCULO 1º.-</w:t>
      </w:r>
      <w:r w:rsidRPr="00482B94">
        <w:rPr>
          <w:rFonts w:ascii="Bookman Old Style" w:hAnsi="Bookman Old Style"/>
          <w:b/>
          <w:sz w:val="24"/>
          <w:szCs w:val="24"/>
        </w:rPr>
        <w:t xml:space="preserve">  PROHÍBASE</w:t>
      </w:r>
      <w:r w:rsidRPr="00482B94">
        <w:rPr>
          <w:rFonts w:ascii="Bookman Old Style" w:hAnsi="Bookman Old Style"/>
          <w:sz w:val="24"/>
          <w:szCs w:val="24"/>
        </w:rPr>
        <w:t xml:space="preserve"> en todo el ejido de la localidad de San José de </w:t>
      </w:r>
      <w:proofErr w:type="spellStart"/>
      <w:r w:rsidRPr="00482B94">
        <w:rPr>
          <w:rFonts w:ascii="Bookman Old Style" w:hAnsi="Bookman Old Style"/>
          <w:sz w:val="24"/>
          <w:szCs w:val="24"/>
        </w:rPr>
        <w:t>Gualeguaychú</w:t>
      </w:r>
      <w:proofErr w:type="spellEnd"/>
      <w:r w:rsidRPr="00482B94">
        <w:rPr>
          <w:rFonts w:ascii="Bookman Old Style" w:hAnsi="Bookman Old Style"/>
          <w:sz w:val="24"/>
          <w:szCs w:val="24"/>
        </w:rPr>
        <w:t xml:space="preserve"> el uso, aplicación, expendio, almacenamiento, transporte, comercialización y venta del producto llamado en forma general "Glifosato" y aquellas formulaciones que lo contengan.-</w:t>
      </w:r>
    </w:p>
    <w:p w:rsidR="005E7D7F" w:rsidRPr="00482B94" w:rsidRDefault="005E7D7F" w:rsidP="00482B94">
      <w:pPr>
        <w:spacing w:before="240" w:line="360" w:lineRule="auto"/>
        <w:jc w:val="both"/>
        <w:rPr>
          <w:rFonts w:ascii="Bookman Old Style" w:hAnsi="Bookman Old Style"/>
          <w:sz w:val="24"/>
          <w:szCs w:val="24"/>
        </w:rPr>
      </w:pPr>
      <w:r w:rsidRPr="00482B94">
        <w:rPr>
          <w:rFonts w:ascii="Bookman Old Style" w:hAnsi="Bookman Old Style"/>
          <w:b/>
          <w:sz w:val="24"/>
          <w:szCs w:val="24"/>
          <w:u w:val="single"/>
        </w:rPr>
        <w:t>ARTÍCULO 2º.-</w:t>
      </w:r>
      <w:r w:rsidRPr="00482B94">
        <w:rPr>
          <w:rFonts w:ascii="Bookman Old Style" w:hAnsi="Bookman Old Style"/>
          <w:b/>
          <w:sz w:val="24"/>
          <w:szCs w:val="24"/>
        </w:rPr>
        <w:t xml:space="preserve"> ESTABLEZCASE</w:t>
      </w:r>
      <w:r w:rsidRPr="00482B94">
        <w:rPr>
          <w:rFonts w:ascii="Bookman Old Style" w:hAnsi="Bookman Old Style"/>
          <w:sz w:val="24"/>
          <w:szCs w:val="24"/>
        </w:rPr>
        <w:t xml:space="preserve"> que la Dirección de Ambiente, dependiente de la Secretaría de Desarrollo Social y Salud, la Dirección de Inspección General y la Dirección de Tránsito, dependientes de la Secretaría de Gobierno de la Municipalidad de San José de </w:t>
      </w:r>
      <w:proofErr w:type="spellStart"/>
      <w:r w:rsidRPr="00482B94">
        <w:rPr>
          <w:rFonts w:ascii="Bookman Old Style" w:hAnsi="Bookman Old Style"/>
          <w:sz w:val="24"/>
          <w:szCs w:val="24"/>
        </w:rPr>
        <w:t>Gualeguaychú</w:t>
      </w:r>
      <w:proofErr w:type="spellEnd"/>
      <w:r w:rsidRPr="00482B94">
        <w:rPr>
          <w:rFonts w:ascii="Bookman Old Style" w:hAnsi="Bookman Old Style"/>
          <w:sz w:val="24"/>
          <w:szCs w:val="24"/>
        </w:rPr>
        <w:t>, serán los órganos de aplicación y control.</w:t>
      </w:r>
    </w:p>
    <w:p w:rsidR="005E7D7F" w:rsidRPr="00482B94" w:rsidRDefault="005E7D7F" w:rsidP="00482B94">
      <w:pPr>
        <w:spacing w:before="240" w:line="360" w:lineRule="auto"/>
        <w:jc w:val="both"/>
        <w:rPr>
          <w:rFonts w:ascii="Bookman Old Style" w:hAnsi="Bookman Old Style"/>
          <w:sz w:val="24"/>
          <w:szCs w:val="24"/>
        </w:rPr>
      </w:pPr>
      <w:r w:rsidRPr="00482B94">
        <w:rPr>
          <w:rFonts w:ascii="Bookman Old Style" w:hAnsi="Bookman Old Style"/>
          <w:b/>
          <w:sz w:val="24"/>
          <w:szCs w:val="24"/>
          <w:u w:val="single"/>
        </w:rPr>
        <w:t>ARTICULO 3º.-</w:t>
      </w:r>
      <w:r w:rsidR="0067753F" w:rsidRPr="0067753F">
        <w:rPr>
          <w:rFonts w:ascii="Bookman Old Style" w:hAnsi="Bookman Old Style"/>
          <w:b/>
          <w:sz w:val="24"/>
          <w:szCs w:val="24"/>
        </w:rPr>
        <w:t xml:space="preserve"> </w:t>
      </w:r>
      <w:r w:rsidRPr="00482B94">
        <w:rPr>
          <w:rFonts w:ascii="Bookman Old Style" w:hAnsi="Bookman Old Style"/>
          <w:b/>
          <w:sz w:val="24"/>
          <w:szCs w:val="24"/>
        </w:rPr>
        <w:t>FACULTESE</w:t>
      </w:r>
      <w:r w:rsidRPr="00482B94">
        <w:rPr>
          <w:rFonts w:ascii="Bookman Old Style" w:hAnsi="Bookman Old Style"/>
          <w:sz w:val="24"/>
          <w:szCs w:val="24"/>
        </w:rPr>
        <w:t xml:space="preserve"> al Departamento Ejecutivo Municipal a conformar una comisión ad hoc, que tenga por objeto el estudio y seguimiento de la temática de esta ordenanza, donde se encuentren representadas todas las fuerzas políticas integrantes del Honorable Concejo Deliberante, como así también las áreas competentes del poder ejecutivo; pudiendo ser invitadas</w:t>
      </w:r>
      <w:r w:rsidR="00FE6692">
        <w:rPr>
          <w:rFonts w:ascii="Bookman Old Style" w:hAnsi="Bookman Old Style"/>
          <w:sz w:val="24"/>
          <w:szCs w:val="24"/>
        </w:rPr>
        <w:t xml:space="preserve"> a</w:t>
      </w:r>
      <w:r w:rsidRPr="00482B94">
        <w:rPr>
          <w:rFonts w:ascii="Bookman Old Style" w:hAnsi="Bookman Old Style"/>
          <w:sz w:val="24"/>
          <w:szCs w:val="24"/>
        </w:rPr>
        <w:t xml:space="preserve"> participar por el Departamento </w:t>
      </w:r>
      <w:r w:rsidRPr="00482B94">
        <w:rPr>
          <w:rFonts w:ascii="Bookman Old Style" w:hAnsi="Bookman Old Style"/>
          <w:sz w:val="24"/>
          <w:szCs w:val="24"/>
        </w:rPr>
        <w:lastRenderedPageBreak/>
        <w:t>Ejecutivo  las instituciones y organizaciones intermedias que desarrollen actividades vinculadas a la defensa del ambiente y de la salud.</w:t>
      </w:r>
    </w:p>
    <w:p w:rsidR="005E7D7F" w:rsidRPr="00482B94" w:rsidRDefault="005E7D7F" w:rsidP="00482B94">
      <w:pPr>
        <w:spacing w:before="240" w:line="360" w:lineRule="auto"/>
        <w:jc w:val="both"/>
        <w:rPr>
          <w:rFonts w:ascii="Bookman Old Style" w:hAnsi="Bookman Old Style"/>
          <w:sz w:val="24"/>
          <w:szCs w:val="24"/>
        </w:rPr>
      </w:pPr>
      <w:r w:rsidRPr="00482B94">
        <w:rPr>
          <w:rFonts w:ascii="Bookman Old Style" w:hAnsi="Bookman Old Style"/>
          <w:b/>
          <w:sz w:val="24"/>
          <w:szCs w:val="24"/>
          <w:u w:val="single"/>
        </w:rPr>
        <w:t>ARTICULO 4º.-</w:t>
      </w:r>
      <w:r w:rsidRPr="00482B94">
        <w:rPr>
          <w:rFonts w:ascii="Bookman Old Style" w:hAnsi="Bookman Old Style"/>
          <w:b/>
          <w:sz w:val="24"/>
          <w:szCs w:val="24"/>
        </w:rPr>
        <w:t xml:space="preserve"> FACULTESE</w:t>
      </w:r>
      <w:r w:rsidRPr="00482B94">
        <w:rPr>
          <w:rFonts w:ascii="Bookman Old Style" w:hAnsi="Bookman Old Style"/>
          <w:sz w:val="24"/>
          <w:szCs w:val="24"/>
        </w:rPr>
        <w:t xml:space="preserve"> al Departamento Ejecutivo Municipal a reglamentar la presente Ordenanza en el término de 60 días de publicada, conforme las atribuciones otorgadas por el art. 107, inc. </w:t>
      </w:r>
      <w:proofErr w:type="gramStart"/>
      <w:r w:rsidRPr="00482B94">
        <w:rPr>
          <w:rFonts w:ascii="Bookman Old Style" w:hAnsi="Bookman Old Style"/>
          <w:sz w:val="24"/>
          <w:szCs w:val="24"/>
        </w:rPr>
        <w:t>l</w:t>
      </w:r>
      <w:proofErr w:type="gramEnd"/>
      <w:r w:rsidRPr="00482B94">
        <w:rPr>
          <w:rFonts w:ascii="Bookman Old Style" w:hAnsi="Bookman Old Style"/>
          <w:sz w:val="24"/>
          <w:szCs w:val="24"/>
        </w:rPr>
        <w:t>, de la Ley Orgánica de Municipios de Entre Ríos Nº10.027 y modificatorias.-</w:t>
      </w:r>
    </w:p>
    <w:p w:rsidR="005E7D7F" w:rsidRPr="00482B94" w:rsidRDefault="005E7D7F" w:rsidP="00482B94">
      <w:pPr>
        <w:spacing w:before="240" w:line="360" w:lineRule="auto"/>
        <w:jc w:val="both"/>
        <w:rPr>
          <w:rFonts w:ascii="Bookman Old Style" w:hAnsi="Bookman Old Style"/>
          <w:sz w:val="24"/>
          <w:szCs w:val="24"/>
        </w:rPr>
      </w:pPr>
      <w:r w:rsidRPr="00482B94">
        <w:rPr>
          <w:rFonts w:ascii="Bookman Old Style" w:hAnsi="Bookman Old Style"/>
          <w:b/>
          <w:sz w:val="24"/>
          <w:szCs w:val="24"/>
          <w:u w:val="single"/>
        </w:rPr>
        <w:t>ARTÍCULO 5º.-</w:t>
      </w:r>
      <w:r w:rsidRPr="00482B94">
        <w:rPr>
          <w:rFonts w:ascii="Bookman Old Style" w:hAnsi="Bookman Old Style"/>
          <w:b/>
          <w:sz w:val="24"/>
          <w:szCs w:val="24"/>
        </w:rPr>
        <w:t>LA</w:t>
      </w:r>
      <w:r w:rsidRPr="00482B94">
        <w:rPr>
          <w:rFonts w:ascii="Bookman Old Style" w:hAnsi="Bookman Old Style"/>
          <w:sz w:val="24"/>
          <w:szCs w:val="24"/>
        </w:rPr>
        <w:t xml:space="preserve"> prohibición establecida en la presente no admitirá ningún tipo de excepciones posteriores de ninguna índole y, más allá de las penas que correspondan por el código de faltas municipal, se establecen las siguientes sanciones específicas para quien incumpla con lo establecido en la presente ordenanza:</w:t>
      </w:r>
    </w:p>
    <w:p w:rsidR="005E7D7F" w:rsidRPr="00482B94" w:rsidRDefault="005E7D7F" w:rsidP="00482B94">
      <w:pPr>
        <w:spacing w:before="240" w:line="360" w:lineRule="auto"/>
        <w:jc w:val="both"/>
        <w:rPr>
          <w:rFonts w:ascii="Bookman Old Style" w:hAnsi="Bookman Old Style"/>
          <w:sz w:val="24"/>
          <w:szCs w:val="24"/>
        </w:rPr>
      </w:pPr>
      <w:r w:rsidRPr="00482B94">
        <w:rPr>
          <w:rFonts w:ascii="Bookman Old Style" w:hAnsi="Bookman Old Style"/>
          <w:b/>
          <w:sz w:val="24"/>
          <w:szCs w:val="24"/>
        </w:rPr>
        <w:t>a)-</w:t>
      </w:r>
      <w:r w:rsidRPr="00482B94">
        <w:rPr>
          <w:rFonts w:ascii="Bookman Old Style" w:hAnsi="Bookman Old Style"/>
          <w:sz w:val="24"/>
          <w:szCs w:val="24"/>
        </w:rPr>
        <w:t xml:space="preserve"> A quien o quienes incumplan lo normado por el Artículo 1° de la presente en cuanto a uso, aplicación y transporte, se les decomisarán los productos y se aplicará una multa de 500 UTM. En caso de reincidencia se decomisará y corresponderá una multa de 1000 UTM a modo de sanción, incrementándose la misma en futuras ocasiones de manera gradual al doble de la última sanción.</w:t>
      </w:r>
    </w:p>
    <w:p w:rsidR="005E7D7F" w:rsidRPr="00482B94" w:rsidRDefault="005E7D7F" w:rsidP="00482B94">
      <w:pPr>
        <w:spacing w:before="240" w:line="360" w:lineRule="auto"/>
        <w:jc w:val="both"/>
        <w:rPr>
          <w:rFonts w:ascii="Bookman Old Style" w:hAnsi="Bookman Old Style"/>
          <w:sz w:val="24"/>
          <w:szCs w:val="24"/>
        </w:rPr>
      </w:pPr>
      <w:r w:rsidRPr="00482B94">
        <w:rPr>
          <w:rFonts w:ascii="Bookman Old Style" w:hAnsi="Bookman Old Style"/>
          <w:b/>
          <w:sz w:val="24"/>
          <w:szCs w:val="24"/>
        </w:rPr>
        <w:t>b)-</w:t>
      </w:r>
      <w:r w:rsidRPr="00482B94">
        <w:rPr>
          <w:rFonts w:ascii="Bookman Old Style" w:hAnsi="Bookman Old Style"/>
          <w:sz w:val="24"/>
          <w:szCs w:val="24"/>
        </w:rPr>
        <w:t xml:space="preserve"> A quien o quienes incumplan lo normado por el Artículo 1° de la presente en cuanto a almacenamiento, expendio y venta, se les decomisarán los productos y se les aplicará una multa de 500 UTM. En caso de reincidencia corresponderá decomiso, multa de 1000 UTM y la clausura preventiva del establecimiento donde se detecte dicha violación.</w:t>
      </w:r>
    </w:p>
    <w:p w:rsidR="005E7D7F" w:rsidRPr="00482B94" w:rsidRDefault="005E7D7F" w:rsidP="00482B94">
      <w:pPr>
        <w:spacing w:before="240" w:line="360" w:lineRule="auto"/>
        <w:jc w:val="both"/>
        <w:rPr>
          <w:rFonts w:ascii="Bookman Old Style" w:hAnsi="Bookman Old Style"/>
          <w:sz w:val="24"/>
          <w:szCs w:val="24"/>
        </w:rPr>
      </w:pPr>
      <w:r w:rsidRPr="00482B94">
        <w:rPr>
          <w:rFonts w:ascii="Bookman Old Style" w:hAnsi="Bookman Old Style"/>
          <w:b/>
          <w:sz w:val="24"/>
          <w:szCs w:val="24"/>
          <w:u w:val="single"/>
        </w:rPr>
        <w:t xml:space="preserve">ARTÍCULO </w:t>
      </w:r>
      <w:r w:rsidR="00F37DCA">
        <w:rPr>
          <w:rFonts w:ascii="Bookman Old Style" w:hAnsi="Bookman Old Style"/>
          <w:b/>
          <w:sz w:val="24"/>
          <w:szCs w:val="24"/>
          <w:u w:val="single"/>
        </w:rPr>
        <w:t>5</w:t>
      </w:r>
      <w:r w:rsidR="000801E9">
        <w:rPr>
          <w:rFonts w:ascii="Bookman Old Style" w:hAnsi="Bookman Old Style"/>
          <w:b/>
          <w:sz w:val="24"/>
          <w:szCs w:val="24"/>
          <w:u w:val="single"/>
        </w:rPr>
        <w:t>º</w:t>
      </w:r>
      <w:bookmarkStart w:id="0" w:name="_GoBack"/>
      <w:bookmarkEnd w:id="0"/>
      <w:r w:rsidRPr="00482B94">
        <w:rPr>
          <w:rFonts w:ascii="Bookman Old Style" w:hAnsi="Bookman Old Style"/>
          <w:b/>
          <w:sz w:val="24"/>
          <w:szCs w:val="24"/>
          <w:u w:val="single"/>
        </w:rPr>
        <w:t>.-</w:t>
      </w:r>
      <w:r w:rsidRPr="00482B94">
        <w:rPr>
          <w:rFonts w:ascii="Bookman Old Style" w:hAnsi="Bookman Old Style"/>
          <w:b/>
          <w:sz w:val="24"/>
          <w:szCs w:val="24"/>
        </w:rPr>
        <w:t>COMUNÍQUESE</w:t>
      </w:r>
      <w:r w:rsidRPr="00482B94">
        <w:rPr>
          <w:rFonts w:ascii="Bookman Old Style" w:hAnsi="Bookman Old Style"/>
          <w:sz w:val="24"/>
          <w:szCs w:val="24"/>
        </w:rPr>
        <w:t xml:space="preserve">  e invítese al resto de los Concejos Deliberantes de la ciudades y comunas de la Provincia a llevar adelante medidas semejantes a la que se establece en la presente Ordenanza. </w:t>
      </w:r>
    </w:p>
    <w:p w:rsidR="005E7D7F" w:rsidRPr="00482B94" w:rsidRDefault="005E7D7F" w:rsidP="00482B94">
      <w:pPr>
        <w:spacing w:before="240" w:line="360" w:lineRule="auto"/>
        <w:jc w:val="both"/>
        <w:rPr>
          <w:rFonts w:ascii="Bookman Old Style" w:hAnsi="Bookman Old Style"/>
          <w:sz w:val="24"/>
          <w:szCs w:val="24"/>
        </w:rPr>
      </w:pPr>
      <w:r w:rsidRPr="00482B94">
        <w:rPr>
          <w:rFonts w:ascii="Bookman Old Style" w:hAnsi="Bookman Old Style"/>
          <w:b/>
          <w:sz w:val="24"/>
          <w:szCs w:val="24"/>
          <w:u w:val="single"/>
        </w:rPr>
        <w:lastRenderedPageBreak/>
        <w:t xml:space="preserve">ARTÍCULO </w:t>
      </w:r>
      <w:r w:rsidR="00F37DCA">
        <w:rPr>
          <w:rFonts w:ascii="Bookman Old Style" w:hAnsi="Bookman Old Style"/>
          <w:b/>
          <w:sz w:val="24"/>
          <w:szCs w:val="24"/>
          <w:u w:val="single"/>
        </w:rPr>
        <w:t>6</w:t>
      </w:r>
      <w:r w:rsidRPr="00482B94">
        <w:rPr>
          <w:rFonts w:ascii="Bookman Old Style" w:hAnsi="Bookman Old Style"/>
          <w:b/>
          <w:sz w:val="24"/>
          <w:szCs w:val="24"/>
          <w:u w:val="single"/>
        </w:rPr>
        <w:t>º.-</w:t>
      </w:r>
      <w:r w:rsidRPr="00482B94">
        <w:rPr>
          <w:rFonts w:ascii="Bookman Old Style" w:hAnsi="Bookman Old Style"/>
          <w:b/>
          <w:sz w:val="24"/>
          <w:szCs w:val="24"/>
        </w:rPr>
        <w:t>NOTIFÍQUESE</w:t>
      </w:r>
      <w:r w:rsidRPr="00482B94">
        <w:rPr>
          <w:rFonts w:ascii="Bookman Old Style" w:hAnsi="Bookman Old Style"/>
          <w:sz w:val="24"/>
          <w:szCs w:val="24"/>
        </w:rPr>
        <w:t xml:space="preserve">  lo dispuesto por la presente Ordenanza al Gobierno Nacional, Gobierno Provincial, a la Legislatura de la Provincia de Entre Ríos, a los comercios que expenden este producto en este Municipio, a la delegación local de la Federación Agraria Argentina, a la Sociedad Rural de </w:t>
      </w:r>
      <w:proofErr w:type="spellStart"/>
      <w:r w:rsidRPr="00482B94">
        <w:rPr>
          <w:rFonts w:ascii="Bookman Old Style" w:hAnsi="Bookman Old Style"/>
          <w:sz w:val="24"/>
          <w:szCs w:val="24"/>
        </w:rPr>
        <w:t>Gualeguaychú</w:t>
      </w:r>
      <w:proofErr w:type="spellEnd"/>
      <w:r w:rsidRPr="00482B94">
        <w:rPr>
          <w:rFonts w:ascii="Bookman Old Style" w:hAnsi="Bookman Old Style"/>
          <w:sz w:val="24"/>
          <w:szCs w:val="24"/>
        </w:rPr>
        <w:t xml:space="preserve"> y a las organizaciones no gubernamentales comprometidas con el cuidado del ambiente local.</w:t>
      </w:r>
    </w:p>
    <w:p w:rsidR="005E7D7F" w:rsidRPr="00482B94" w:rsidRDefault="005E7D7F" w:rsidP="00482B94">
      <w:pPr>
        <w:spacing w:before="240" w:line="360" w:lineRule="auto"/>
        <w:jc w:val="both"/>
        <w:rPr>
          <w:rFonts w:ascii="Bookman Old Style" w:hAnsi="Bookman Old Style"/>
          <w:sz w:val="24"/>
          <w:szCs w:val="24"/>
        </w:rPr>
      </w:pPr>
      <w:r w:rsidRPr="00482B94">
        <w:rPr>
          <w:rFonts w:ascii="Bookman Old Style" w:hAnsi="Bookman Old Style"/>
          <w:b/>
          <w:sz w:val="24"/>
          <w:szCs w:val="24"/>
          <w:u w:val="single"/>
        </w:rPr>
        <w:t xml:space="preserve">ARTÍCULO </w:t>
      </w:r>
      <w:r w:rsidR="00F37DCA">
        <w:rPr>
          <w:rFonts w:ascii="Bookman Old Style" w:hAnsi="Bookman Old Style"/>
          <w:b/>
          <w:sz w:val="24"/>
          <w:szCs w:val="24"/>
          <w:u w:val="single"/>
        </w:rPr>
        <w:t>7</w:t>
      </w:r>
      <w:r w:rsidRPr="00482B94">
        <w:rPr>
          <w:rFonts w:ascii="Bookman Old Style" w:hAnsi="Bookman Old Style"/>
          <w:b/>
          <w:sz w:val="24"/>
          <w:szCs w:val="24"/>
          <w:u w:val="single"/>
        </w:rPr>
        <w:t>º.-</w:t>
      </w:r>
      <w:r w:rsidRPr="00482B94">
        <w:rPr>
          <w:rFonts w:ascii="Bookman Old Style" w:hAnsi="Bookman Old Style"/>
          <w:b/>
          <w:sz w:val="24"/>
          <w:szCs w:val="24"/>
        </w:rPr>
        <w:t xml:space="preserve"> APRUEBESE</w:t>
      </w:r>
      <w:r w:rsidRPr="00482B94">
        <w:rPr>
          <w:rFonts w:ascii="Bookman Old Style" w:hAnsi="Bookman Old Style"/>
          <w:sz w:val="24"/>
          <w:szCs w:val="24"/>
        </w:rPr>
        <w:t xml:space="preserve"> el Anexo  adjunto, el que se considerará parte de la presente Ordenanza.</w:t>
      </w:r>
    </w:p>
    <w:p w:rsidR="005E7D7F" w:rsidRPr="00482B94" w:rsidRDefault="005E7D7F" w:rsidP="00482B94">
      <w:pPr>
        <w:spacing w:before="240" w:line="360" w:lineRule="auto"/>
        <w:jc w:val="both"/>
        <w:rPr>
          <w:rFonts w:ascii="Bookman Old Style" w:hAnsi="Bookman Old Style"/>
          <w:b/>
          <w:sz w:val="24"/>
          <w:szCs w:val="24"/>
        </w:rPr>
      </w:pPr>
      <w:r w:rsidRPr="00482B94">
        <w:rPr>
          <w:rFonts w:ascii="Bookman Old Style" w:hAnsi="Bookman Old Style"/>
          <w:b/>
          <w:sz w:val="24"/>
          <w:szCs w:val="24"/>
          <w:u w:val="single"/>
        </w:rPr>
        <w:t xml:space="preserve">ARTICULO </w:t>
      </w:r>
      <w:r w:rsidR="00F37DCA">
        <w:rPr>
          <w:rFonts w:ascii="Bookman Old Style" w:hAnsi="Bookman Old Style"/>
          <w:b/>
          <w:sz w:val="24"/>
          <w:szCs w:val="24"/>
          <w:u w:val="single"/>
        </w:rPr>
        <w:t>8</w:t>
      </w:r>
      <w:r w:rsidRPr="00482B94">
        <w:rPr>
          <w:rFonts w:ascii="Bookman Old Style" w:hAnsi="Bookman Old Style"/>
          <w:b/>
          <w:sz w:val="24"/>
          <w:szCs w:val="24"/>
          <w:u w:val="single"/>
        </w:rPr>
        <w:t>º.-</w:t>
      </w:r>
      <w:r w:rsidRPr="00482B94">
        <w:rPr>
          <w:rFonts w:ascii="Bookman Old Style" w:hAnsi="Bookman Old Style"/>
          <w:b/>
          <w:sz w:val="24"/>
          <w:szCs w:val="24"/>
        </w:rPr>
        <w:t xml:space="preserve"> COMUNIQUESE, </w:t>
      </w:r>
      <w:r w:rsidR="0067753F" w:rsidRPr="0067753F">
        <w:rPr>
          <w:rFonts w:ascii="Bookman Old Style" w:hAnsi="Bookman Old Style"/>
          <w:sz w:val="24"/>
          <w:szCs w:val="24"/>
        </w:rPr>
        <w:t>publíquese y archívese.</w:t>
      </w:r>
    </w:p>
    <w:p w:rsidR="005E7D7F" w:rsidRPr="00482B94" w:rsidRDefault="005E7D7F" w:rsidP="00482B94">
      <w:pPr>
        <w:spacing w:before="240" w:line="360" w:lineRule="auto"/>
        <w:jc w:val="both"/>
        <w:rPr>
          <w:rFonts w:ascii="Bookman Old Style" w:hAnsi="Bookman Old Style"/>
          <w:b/>
          <w:sz w:val="24"/>
          <w:szCs w:val="24"/>
        </w:rPr>
      </w:pPr>
    </w:p>
    <w:p w:rsidR="005E7D7F" w:rsidRPr="00482B94" w:rsidRDefault="005E7D7F" w:rsidP="00482B94">
      <w:pPr>
        <w:spacing w:before="240" w:line="360" w:lineRule="auto"/>
        <w:jc w:val="both"/>
        <w:rPr>
          <w:rFonts w:ascii="Bookman Old Style" w:hAnsi="Bookman Old Style"/>
          <w:b/>
          <w:sz w:val="24"/>
          <w:szCs w:val="24"/>
        </w:rPr>
      </w:pPr>
      <w:r w:rsidRPr="00482B94">
        <w:rPr>
          <w:rFonts w:ascii="Bookman Old Style" w:hAnsi="Bookman Old Style"/>
          <w:b/>
          <w:sz w:val="24"/>
          <w:szCs w:val="24"/>
        </w:rPr>
        <w:t>Sala de Sesiones.</w:t>
      </w:r>
    </w:p>
    <w:p w:rsidR="005E7D7F" w:rsidRPr="00482B94" w:rsidRDefault="005E7D7F" w:rsidP="00482B94">
      <w:pPr>
        <w:spacing w:before="240" w:line="360" w:lineRule="auto"/>
        <w:jc w:val="both"/>
        <w:rPr>
          <w:rFonts w:ascii="Bookman Old Style" w:hAnsi="Bookman Old Style"/>
          <w:b/>
          <w:sz w:val="24"/>
          <w:szCs w:val="24"/>
        </w:rPr>
      </w:pPr>
      <w:r w:rsidRPr="00482B94">
        <w:rPr>
          <w:rFonts w:ascii="Bookman Old Style" w:hAnsi="Bookman Old Style"/>
          <w:b/>
          <w:sz w:val="24"/>
          <w:szCs w:val="24"/>
        </w:rPr>
        <w:t xml:space="preserve">San José de </w:t>
      </w:r>
      <w:proofErr w:type="spellStart"/>
      <w:r w:rsidRPr="00482B94">
        <w:rPr>
          <w:rFonts w:ascii="Bookman Old Style" w:hAnsi="Bookman Old Style"/>
          <w:b/>
          <w:sz w:val="24"/>
          <w:szCs w:val="24"/>
        </w:rPr>
        <w:t>Gualeguaychú</w:t>
      </w:r>
      <w:proofErr w:type="spellEnd"/>
      <w:r w:rsidRPr="00482B94">
        <w:rPr>
          <w:rFonts w:ascii="Bookman Old Style" w:hAnsi="Bookman Old Style"/>
          <w:b/>
          <w:sz w:val="24"/>
          <w:szCs w:val="24"/>
        </w:rPr>
        <w:t>, 16 de abril de 2018.</w:t>
      </w:r>
    </w:p>
    <w:p w:rsidR="005E7D7F" w:rsidRPr="00482B94" w:rsidRDefault="005E7D7F" w:rsidP="00482B94">
      <w:pPr>
        <w:spacing w:before="240" w:line="360" w:lineRule="auto"/>
        <w:jc w:val="both"/>
        <w:rPr>
          <w:rFonts w:ascii="Bookman Old Style" w:hAnsi="Bookman Old Style"/>
          <w:sz w:val="24"/>
          <w:szCs w:val="24"/>
        </w:rPr>
      </w:pPr>
      <w:r w:rsidRPr="00482B94">
        <w:rPr>
          <w:rFonts w:ascii="Bookman Old Style" w:hAnsi="Bookman Old Style"/>
          <w:b/>
          <w:sz w:val="24"/>
          <w:szCs w:val="24"/>
        </w:rPr>
        <w:t xml:space="preserve">Jorge F. </w:t>
      </w:r>
      <w:proofErr w:type="spellStart"/>
      <w:r w:rsidRPr="00482B94">
        <w:rPr>
          <w:rFonts w:ascii="Bookman Old Style" w:hAnsi="Bookman Old Style"/>
          <w:b/>
          <w:sz w:val="24"/>
          <w:szCs w:val="24"/>
        </w:rPr>
        <w:t>Maradey</w:t>
      </w:r>
      <w:proofErr w:type="spellEnd"/>
      <w:r w:rsidRPr="00482B94">
        <w:rPr>
          <w:rFonts w:ascii="Bookman Old Style" w:hAnsi="Bookman Old Style"/>
          <w:b/>
          <w:sz w:val="24"/>
          <w:szCs w:val="24"/>
        </w:rPr>
        <w:t>, Presidente – Leandro M. Silva, Secretario.</w:t>
      </w:r>
    </w:p>
    <w:p w:rsidR="005E7D7F" w:rsidRPr="00482B94" w:rsidRDefault="005E7D7F" w:rsidP="00482B94">
      <w:pPr>
        <w:spacing w:before="240" w:line="360" w:lineRule="auto"/>
        <w:jc w:val="both"/>
        <w:rPr>
          <w:rFonts w:ascii="Bookman Old Style" w:hAnsi="Bookman Old Style"/>
          <w:sz w:val="24"/>
          <w:szCs w:val="24"/>
        </w:rPr>
      </w:pPr>
    </w:p>
    <w:p w:rsidR="005E7D7F" w:rsidRPr="00482B94" w:rsidRDefault="005E7D7F" w:rsidP="00482B94">
      <w:pPr>
        <w:spacing w:before="240" w:line="360" w:lineRule="auto"/>
        <w:jc w:val="both"/>
        <w:rPr>
          <w:rFonts w:ascii="Bookman Old Style" w:hAnsi="Bookman Old Style"/>
          <w:b/>
          <w:sz w:val="24"/>
          <w:szCs w:val="24"/>
          <w:u w:val="single"/>
        </w:rPr>
      </w:pPr>
    </w:p>
    <w:p w:rsidR="005E7D7F" w:rsidRPr="00482B94" w:rsidRDefault="005E7D7F" w:rsidP="00482B94">
      <w:pPr>
        <w:spacing w:before="240" w:line="360" w:lineRule="auto"/>
        <w:jc w:val="both"/>
        <w:rPr>
          <w:rFonts w:ascii="Bookman Old Style" w:hAnsi="Bookman Old Style"/>
          <w:b/>
          <w:sz w:val="24"/>
          <w:szCs w:val="24"/>
          <w:u w:val="single"/>
        </w:rPr>
      </w:pPr>
    </w:p>
    <w:p w:rsidR="005E7D7F" w:rsidRPr="00482B94" w:rsidRDefault="005E7D7F" w:rsidP="00482B94">
      <w:pPr>
        <w:spacing w:before="240" w:line="360" w:lineRule="auto"/>
        <w:jc w:val="both"/>
        <w:rPr>
          <w:rFonts w:ascii="Bookman Old Style" w:hAnsi="Bookman Old Style"/>
          <w:b/>
          <w:sz w:val="24"/>
          <w:szCs w:val="24"/>
          <w:u w:val="single"/>
        </w:rPr>
      </w:pPr>
    </w:p>
    <w:p w:rsidR="005E7D7F" w:rsidRPr="00482B94" w:rsidRDefault="005E7D7F" w:rsidP="00482B94">
      <w:pPr>
        <w:spacing w:before="240" w:line="360" w:lineRule="auto"/>
        <w:jc w:val="both"/>
        <w:rPr>
          <w:rFonts w:ascii="Bookman Old Style" w:hAnsi="Bookman Old Style"/>
          <w:b/>
          <w:sz w:val="24"/>
          <w:szCs w:val="24"/>
          <w:u w:val="single"/>
        </w:rPr>
      </w:pPr>
    </w:p>
    <w:p w:rsidR="005E7D7F" w:rsidRPr="00482B94" w:rsidRDefault="005E7D7F" w:rsidP="00482B94">
      <w:pPr>
        <w:spacing w:before="240" w:line="360" w:lineRule="auto"/>
        <w:jc w:val="both"/>
        <w:rPr>
          <w:rFonts w:ascii="Bookman Old Style" w:hAnsi="Bookman Old Style"/>
          <w:b/>
          <w:sz w:val="24"/>
          <w:szCs w:val="24"/>
          <w:u w:val="single"/>
        </w:rPr>
      </w:pPr>
    </w:p>
    <w:p w:rsidR="005E7D7F" w:rsidRPr="00482B94" w:rsidRDefault="005E7D7F" w:rsidP="00482B94">
      <w:pPr>
        <w:spacing w:before="240" w:line="360" w:lineRule="auto"/>
        <w:jc w:val="both"/>
        <w:rPr>
          <w:rFonts w:ascii="Bookman Old Style" w:hAnsi="Bookman Old Style"/>
          <w:b/>
          <w:sz w:val="24"/>
          <w:szCs w:val="24"/>
          <w:u w:val="single"/>
        </w:rPr>
      </w:pPr>
    </w:p>
    <w:p w:rsidR="005E7D7F" w:rsidRPr="00482B94" w:rsidRDefault="005E7D7F" w:rsidP="00482B94">
      <w:pPr>
        <w:spacing w:before="240" w:line="360" w:lineRule="auto"/>
        <w:jc w:val="both"/>
        <w:rPr>
          <w:rFonts w:ascii="Bookman Old Style" w:hAnsi="Bookman Old Style"/>
          <w:b/>
          <w:sz w:val="24"/>
          <w:szCs w:val="24"/>
          <w:u w:val="single"/>
        </w:rPr>
      </w:pPr>
    </w:p>
    <w:p w:rsidR="005E7D7F" w:rsidRPr="00482B94" w:rsidRDefault="005E7D7F" w:rsidP="00482B94">
      <w:pPr>
        <w:spacing w:before="240" w:line="360" w:lineRule="auto"/>
        <w:jc w:val="both"/>
        <w:rPr>
          <w:rFonts w:ascii="Bookman Old Style" w:hAnsi="Bookman Old Style"/>
          <w:b/>
          <w:sz w:val="24"/>
          <w:szCs w:val="24"/>
          <w:u w:val="single"/>
        </w:rPr>
      </w:pPr>
    </w:p>
    <w:p w:rsidR="005E7D7F" w:rsidRPr="00482B94" w:rsidRDefault="005E7D7F" w:rsidP="00482B94">
      <w:pPr>
        <w:spacing w:before="240" w:line="360" w:lineRule="auto"/>
        <w:jc w:val="center"/>
        <w:rPr>
          <w:rFonts w:ascii="Bookman Old Style" w:hAnsi="Bookman Old Style"/>
          <w:b/>
          <w:sz w:val="24"/>
          <w:szCs w:val="24"/>
          <w:u w:val="single"/>
        </w:rPr>
      </w:pPr>
      <w:r w:rsidRPr="00482B94">
        <w:rPr>
          <w:rFonts w:ascii="Bookman Old Style" w:hAnsi="Bookman Old Style"/>
          <w:b/>
          <w:sz w:val="24"/>
          <w:szCs w:val="24"/>
          <w:u w:val="single"/>
        </w:rPr>
        <w:lastRenderedPageBreak/>
        <w:t>ANEXO</w:t>
      </w:r>
    </w:p>
    <w:p w:rsidR="005E7D7F" w:rsidRPr="00482B94" w:rsidRDefault="005E7D7F" w:rsidP="00482B94">
      <w:pPr>
        <w:spacing w:before="240" w:line="360" w:lineRule="auto"/>
        <w:jc w:val="both"/>
        <w:rPr>
          <w:rFonts w:ascii="Bookman Old Style" w:hAnsi="Bookman Old Style"/>
          <w:sz w:val="24"/>
          <w:szCs w:val="24"/>
        </w:rPr>
      </w:pPr>
      <w:r w:rsidRPr="00482B94">
        <w:rPr>
          <w:rFonts w:ascii="Bookman Old Style" w:hAnsi="Bookman Old Style"/>
          <w:b/>
          <w:sz w:val="24"/>
          <w:szCs w:val="24"/>
          <w:u w:val="single"/>
        </w:rPr>
        <w:t>ARTÍCULO 1º.-</w:t>
      </w:r>
      <w:r w:rsidRPr="00482B94">
        <w:rPr>
          <w:rFonts w:ascii="Bookman Old Style" w:hAnsi="Bookman Old Style"/>
          <w:b/>
          <w:sz w:val="24"/>
          <w:szCs w:val="24"/>
        </w:rPr>
        <w:t xml:space="preserve">ENTIÉNDASE </w:t>
      </w:r>
      <w:r w:rsidRPr="00482B94">
        <w:rPr>
          <w:rFonts w:ascii="Bookman Old Style" w:hAnsi="Bookman Old Style"/>
          <w:sz w:val="24"/>
          <w:szCs w:val="24"/>
        </w:rPr>
        <w:t>por glifosato al principio activo contenido en Herbicidas Organofosforados, cuyo nombre químico es N- (</w:t>
      </w:r>
      <w:proofErr w:type="spellStart"/>
      <w:r w:rsidRPr="00482B94">
        <w:rPr>
          <w:rFonts w:ascii="Bookman Old Style" w:hAnsi="Bookman Old Style"/>
          <w:sz w:val="24"/>
          <w:szCs w:val="24"/>
        </w:rPr>
        <w:t>fosfonometil</w:t>
      </w:r>
      <w:proofErr w:type="spellEnd"/>
      <w:r w:rsidRPr="00482B94">
        <w:rPr>
          <w:rFonts w:ascii="Bookman Old Style" w:hAnsi="Bookman Old Style"/>
          <w:sz w:val="24"/>
          <w:szCs w:val="24"/>
        </w:rPr>
        <w:t>) glicina de acuerdo a nomenclatura IUPAC -</w:t>
      </w:r>
      <w:proofErr w:type="spellStart"/>
      <w:r w:rsidRPr="00482B94">
        <w:rPr>
          <w:rFonts w:ascii="Bookman Old Style" w:hAnsi="Bookman Old Style"/>
          <w:sz w:val="24"/>
          <w:szCs w:val="24"/>
        </w:rPr>
        <w:t>Union</w:t>
      </w:r>
      <w:proofErr w:type="spellEnd"/>
      <w:r w:rsidRPr="00482B94">
        <w:rPr>
          <w:rFonts w:ascii="Bookman Old Style" w:hAnsi="Bookman Old Style"/>
          <w:sz w:val="24"/>
          <w:szCs w:val="24"/>
        </w:rPr>
        <w:t xml:space="preserve"> of </w:t>
      </w:r>
      <w:proofErr w:type="spellStart"/>
      <w:r w:rsidRPr="00482B94">
        <w:rPr>
          <w:rFonts w:ascii="Bookman Old Style" w:hAnsi="Bookman Old Style"/>
          <w:sz w:val="24"/>
          <w:szCs w:val="24"/>
        </w:rPr>
        <w:t>Pure</w:t>
      </w:r>
      <w:proofErr w:type="spellEnd"/>
      <w:r w:rsidRPr="00482B94">
        <w:rPr>
          <w:rFonts w:ascii="Bookman Old Style" w:hAnsi="Bookman Old Style"/>
          <w:sz w:val="24"/>
          <w:szCs w:val="24"/>
        </w:rPr>
        <w:t xml:space="preserve"> and </w:t>
      </w:r>
      <w:proofErr w:type="spellStart"/>
      <w:r w:rsidRPr="00482B94">
        <w:rPr>
          <w:rFonts w:ascii="Bookman Old Style" w:hAnsi="Bookman Old Style"/>
          <w:sz w:val="24"/>
          <w:szCs w:val="24"/>
        </w:rPr>
        <w:t>Applied</w:t>
      </w:r>
      <w:proofErr w:type="spellEnd"/>
      <w:r w:rsidR="0067753F">
        <w:rPr>
          <w:rFonts w:ascii="Bookman Old Style" w:hAnsi="Bookman Old Style"/>
          <w:sz w:val="24"/>
          <w:szCs w:val="24"/>
        </w:rPr>
        <w:t xml:space="preserve"> </w:t>
      </w:r>
      <w:proofErr w:type="spellStart"/>
      <w:r w:rsidRPr="00482B94">
        <w:rPr>
          <w:rFonts w:ascii="Bookman Old Style" w:hAnsi="Bookman Old Style"/>
          <w:sz w:val="24"/>
          <w:szCs w:val="24"/>
        </w:rPr>
        <w:t>Chemistry</w:t>
      </w:r>
      <w:proofErr w:type="spellEnd"/>
      <w:r w:rsidRPr="00482B94">
        <w:rPr>
          <w:rFonts w:ascii="Bookman Old Style" w:hAnsi="Bookman Old Style"/>
          <w:sz w:val="24"/>
          <w:szCs w:val="24"/>
        </w:rPr>
        <w:t xml:space="preserve">-, número CAS </w:t>
      </w:r>
      <w:r w:rsidR="0067753F">
        <w:rPr>
          <w:rFonts w:ascii="Bookman Old Style" w:hAnsi="Bookman Old Style"/>
          <w:sz w:val="24"/>
          <w:szCs w:val="24"/>
        </w:rPr>
        <w:t>–</w:t>
      </w:r>
      <w:proofErr w:type="spellStart"/>
      <w:r w:rsidRPr="00482B94">
        <w:rPr>
          <w:rFonts w:ascii="Bookman Old Style" w:hAnsi="Bookman Old Style"/>
          <w:sz w:val="24"/>
          <w:szCs w:val="24"/>
        </w:rPr>
        <w:t>Chemical</w:t>
      </w:r>
      <w:proofErr w:type="spellEnd"/>
      <w:r w:rsidR="0067753F">
        <w:rPr>
          <w:rFonts w:ascii="Bookman Old Style" w:hAnsi="Bookman Old Style"/>
          <w:sz w:val="24"/>
          <w:szCs w:val="24"/>
        </w:rPr>
        <w:t xml:space="preserve"> </w:t>
      </w:r>
      <w:proofErr w:type="spellStart"/>
      <w:r w:rsidRPr="00482B94">
        <w:rPr>
          <w:rFonts w:ascii="Bookman Old Style" w:hAnsi="Bookman Old Style"/>
          <w:sz w:val="24"/>
          <w:szCs w:val="24"/>
        </w:rPr>
        <w:t>Abstracts</w:t>
      </w:r>
      <w:proofErr w:type="spellEnd"/>
      <w:r w:rsidR="0067753F">
        <w:rPr>
          <w:rFonts w:ascii="Bookman Old Style" w:hAnsi="Bookman Old Style"/>
          <w:sz w:val="24"/>
          <w:szCs w:val="24"/>
        </w:rPr>
        <w:t xml:space="preserve"> </w:t>
      </w:r>
      <w:proofErr w:type="spellStart"/>
      <w:r w:rsidRPr="00482B94">
        <w:rPr>
          <w:rFonts w:ascii="Bookman Old Style" w:hAnsi="Bookman Old Style"/>
          <w:sz w:val="24"/>
          <w:szCs w:val="24"/>
        </w:rPr>
        <w:t>Service</w:t>
      </w:r>
      <w:proofErr w:type="spellEnd"/>
      <w:r w:rsidRPr="00482B94">
        <w:rPr>
          <w:rFonts w:ascii="Bookman Old Style" w:hAnsi="Bookman Old Style"/>
          <w:sz w:val="24"/>
          <w:szCs w:val="24"/>
        </w:rPr>
        <w:t xml:space="preserve">- de registro 1071-83-6, siendo algunos de los nombres de las formulaciones comerciales que se han registrado en Argentina los que a continuación se detallan de modo no taxativo: Spider Ultra S®, Spider Ultra®, Glifosato 48 AGM®, Glifosato </w:t>
      </w:r>
      <w:proofErr w:type="spellStart"/>
      <w:r w:rsidRPr="00482B94">
        <w:rPr>
          <w:rFonts w:ascii="Bookman Old Style" w:hAnsi="Bookman Old Style"/>
          <w:sz w:val="24"/>
          <w:szCs w:val="24"/>
        </w:rPr>
        <w:t>Fersol</w:t>
      </w:r>
      <w:proofErr w:type="spellEnd"/>
      <w:r w:rsidRPr="00482B94">
        <w:rPr>
          <w:rFonts w:ascii="Bookman Old Style" w:hAnsi="Bookman Old Style"/>
          <w:sz w:val="24"/>
          <w:szCs w:val="24"/>
        </w:rPr>
        <w:t xml:space="preserve">®, Glifosato 48 ASP®, Glifosato Estrella®, Glifosato Atanor®, </w:t>
      </w:r>
      <w:proofErr w:type="spellStart"/>
      <w:r w:rsidRPr="00482B94">
        <w:rPr>
          <w:rFonts w:ascii="Bookman Old Style" w:hAnsi="Bookman Old Style"/>
          <w:sz w:val="24"/>
          <w:szCs w:val="24"/>
        </w:rPr>
        <w:t>Power</w:t>
      </w:r>
      <w:proofErr w:type="spellEnd"/>
      <w:r w:rsidRPr="00482B94">
        <w:rPr>
          <w:rFonts w:ascii="Bookman Old Style" w:hAnsi="Bookman Old Style"/>
          <w:sz w:val="24"/>
          <w:szCs w:val="24"/>
        </w:rPr>
        <w:t xml:space="preserve"> Plus Atanor®, Revancha®, Glifosato Bayer®, </w:t>
      </w:r>
      <w:proofErr w:type="spellStart"/>
      <w:r w:rsidRPr="00482B94">
        <w:rPr>
          <w:rFonts w:ascii="Bookman Old Style" w:hAnsi="Bookman Old Style"/>
          <w:sz w:val="24"/>
          <w:szCs w:val="24"/>
        </w:rPr>
        <w:t>Pilarsato</w:t>
      </w:r>
      <w:proofErr w:type="spellEnd"/>
      <w:r w:rsidRPr="00482B94">
        <w:rPr>
          <w:rFonts w:ascii="Bookman Old Style" w:hAnsi="Bookman Old Style"/>
          <w:sz w:val="24"/>
          <w:szCs w:val="24"/>
        </w:rPr>
        <w:t xml:space="preserve">®, </w:t>
      </w:r>
      <w:proofErr w:type="spellStart"/>
      <w:r w:rsidRPr="00482B94">
        <w:rPr>
          <w:rFonts w:ascii="Bookman Old Style" w:hAnsi="Bookman Old Style"/>
          <w:sz w:val="24"/>
          <w:szCs w:val="24"/>
        </w:rPr>
        <w:t>Glifoweed</w:t>
      </w:r>
      <w:proofErr w:type="spellEnd"/>
      <w:r w:rsidRPr="00482B94">
        <w:rPr>
          <w:rFonts w:ascii="Bookman Old Style" w:hAnsi="Bookman Old Style"/>
          <w:sz w:val="24"/>
          <w:szCs w:val="24"/>
        </w:rPr>
        <w:t xml:space="preserve">®, </w:t>
      </w:r>
      <w:proofErr w:type="spellStart"/>
      <w:r w:rsidRPr="00482B94">
        <w:rPr>
          <w:rFonts w:ascii="Bookman Old Style" w:hAnsi="Bookman Old Style"/>
          <w:sz w:val="24"/>
          <w:szCs w:val="24"/>
        </w:rPr>
        <w:t>Nortox</w:t>
      </w:r>
      <w:proofErr w:type="spellEnd"/>
      <w:r w:rsidRPr="00482B94">
        <w:rPr>
          <w:rFonts w:ascii="Bookman Old Style" w:hAnsi="Bookman Old Style"/>
          <w:sz w:val="24"/>
          <w:szCs w:val="24"/>
        </w:rPr>
        <w:t xml:space="preserve">®, </w:t>
      </w:r>
      <w:proofErr w:type="spellStart"/>
      <w:r w:rsidRPr="00482B94">
        <w:rPr>
          <w:rFonts w:ascii="Bookman Old Style" w:hAnsi="Bookman Old Style"/>
          <w:sz w:val="24"/>
          <w:szCs w:val="24"/>
        </w:rPr>
        <w:t>Baundap</w:t>
      </w:r>
      <w:proofErr w:type="spellEnd"/>
      <w:r w:rsidRPr="00482B94">
        <w:rPr>
          <w:rFonts w:ascii="Bookman Old Style" w:hAnsi="Bookman Old Style"/>
          <w:sz w:val="24"/>
          <w:szCs w:val="24"/>
        </w:rPr>
        <w:t xml:space="preserve">®, Total®, Glifos®, </w:t>
      </w:r>
      <w:proofErr w:type="spellStart"/>
      <w:r w:rsidRPr="00482B94">
        <w:rPr>
          <w:rFonts w:ascii="Bookman Old Style" w:hAnsi="Bookman Old Style"/>
          <w:sz w:val="24"/>
          <w:szCs w:val="24"/>
        </w:rPr>
        <w:t>Fosato</w:t>
      </w:r>
      <w:proofErr w:type="spellEnd"/>
      <w:r w:rsidRPr="00482B94">
        <w:rPr>
          <w:rFonts w:ascii="Bookman Old Style" w:hAnsi="Bookman Old Style"/>
          <w:sz w:val="24"/>
          <w:szCs w:val="24"/>
        </w:rPr>
        <w:t xml:space="preserve">®, </w:t>
      </w:r>
      <w:proofErr w:type="spellStart"/>
      <w:r w:rsidRPr="00482B94">
        <w:rPr>
          <w:rFonts w:ascii="Bookman Old Style" w:hAnsi="Bookman Old Style"/>
          <w:sz w:val="24"/>
          <w:szCs w:val="24"/>
        </w:rPr>
        <w:t>Chemosato</w:t>
      </w:r>
      <w:proofErr w:type="spellEnd"/>
      <w:r w:rsidRPr="00482B94">
        <w:rPr>
          <w:rFonts w:ascii="Bookman Old Style" w:hAnsi="Bookman Old Style"/>
          <w:sz w:val="24"/>
          <w:szCs w:val="24"/>
        </w:rPr>
        <w:t xml:space="preserve">®, </w:t>
      </w:r>
      <w:proofErr w:type="spellStart"/>
      <w:r w:rsidRPr="00482B94">
        <w:rPr>
          <w:rFonts w:ascii="Bookman Old Style" w:hAnsi="Bookman Old Style"/>
          <w:sz w:val="24"/>
          <w:szCs w:val="24"/>
        </w:rPr>
        <w:t>Gli</w:t>
      </w:r>
      <w:proofErr w:type="spellEnd"/>
      <w:r w:rsidRPr="00482B94">
        <w:rPr>
          <w:rFonts w:ascii="Bookman Old Style" w:hAnsi="Bookman Old Style"/>
          <w:sz w:val="24"/>
          <w:szCs w:val="24"/>
        </w:rPr>
        <w:t xml:space="preserve"> 48 </w:t>
      </w:r>
      <w:proofErr w:type="spellStart"/>
      <w:r w:rsidRPr="00482B94">
        <w:rPr>
          <w:rFonts w:ascii="Bookman Old Style" w:hAnsi="Bookman Old Style"/>
          <w:sz w:val="24"/>
          <w:szCs w:val="24"/>
        </w:rPr>
        <w:t>Helm</w:t>
      </w:r>
      <w:proofErr w:type="spellEnd"/>
      <w:r w:rsidRPr="00482B94">
        <w:rPr>
          <w:rFonts w:ascii="Bookman Old Style" w:hAnsi="Bookman Old Style"/>
          <w:sz w:val="24"/>
          <w:szCs w:val="24"/>
        </w:rPr>
        <w:t xml:space="preserve">®, </w:t>
      </w:r>
      <w:proofErr w:type="spellStart"/>
      <w:r w:rsidRPr="00482B94">
        <w:rPr>
          <w:rFonts w:ascii="Bookman Old Style" w:hAnsi="Bookman Old Style"/>
          <w:sz w:val="24"/>
          <w:szCs w:val="24"/>
        </w:rPr>
        <w:t>Helosate</w:t>
      </w:r>
      <w:proofErr w:type="spellEnd"/>
      <w:r w:rsidRPr="00482B94">
        <w:rPr>
          <w:rFonts w:ascii="Bookman Old Style" w:hAnsi="Bookman Old Style"/>
          <w:sz w:val="24"/>
          <w:szCs w:val="24"/>
        </w:rPr>
        <w:t xml:space="preserve"> 48 </w:t>
      </w:r>
      <w:proofErr w:type="spellStart"/>
      <w:r w:rsidRPr="00482B94">
        <w:rPr>
          <w:rFonts w:ascii="Bookman Old Style" w:hAnsi="Bookman Old Style"/>
          <w:sz w:val="24"/>
          <w:szCs w:val="24"/>
        </w:rPr>
        <w:t>sl</w:t>
      </w:r>
      <w:proofErr w:type="spellEnd"/>
      <w:r w:rsidRPr="00482B94">
        <w:rPr>
          <w:rFonts w:ascii="Bookman Old Style" w:hAnsi="Bookman Old Style"/>
          <w:sz w:val="24"/>
          <w:szCs w:val="24"/>
        </w:rPr>
        <w:t xml:space="preserve">®, </w:t>
      </w:r>
      <w:proofErr w:type="spellStart"/>
      <w:r w:rsidRPr="00482B94">
        <w:rPr>
          <w:rFonts w:ascii="Bookman Old Style" w:hAnsi="Bookman Old Style"/>
          <w:sz w:val="24"/>
          <w:szCs w:val="24"/>
        </w:rPr>
        <w:t>Helm</w:t>
      </w:r>
      <w:proofErr w:type="spellEnd"/>
      <w:r w:rsidRPr="00482B94">
        <w:rPr>
          <w:rFonts w:ascii="Bookman Old Style" w:hAnsi="Bookman Old Style"/>
          <w:sz w:val="24"/>
          <w:szCs w:val="24"/>
        </w:rPr>
        <w:t xml:space="preserve"> Glifosato 48®, </w:t>
      </w:r>
      <w:proofErr w:type="spellStart"/>
      <w:r w:rsidRPr="00482B94">
        <w:rPr>
          <w:rFonts w:ascii="Bookman Old Style" w:hAnsi="Bookman Old Style"/>
          <w:sz w:val="24"/>
          <w:szCs w:val="24"/>
        </w:rPr>
        <w:t>Glifocas</w:t>
      </w:r>
      <w:proofErr w:type="spellEnd"/>
      <w:r w:rsidRPr="00482B94">
        <w:rPr>
          <w:rFonts w:ascii="Bookman Old Style" w:hAnsi="Bookman Old Style"/>
          <w:sz w:val="24"/>
          <w:szCs w:val="24"/>
        </w:rPr>
        <w:t xml:space="preserve"> 48®, </w:t>
      </w:r>
      <w:proofErr w:type="spellStart"/>
      <w:r w:rsidRPr="00482B94">
        <w:rPr>
          <w:rFonts w:ascii="Bookman Old Style" w:hAnsi="Bookman Old Style"/>
          <w:sz w:val="24"/>
          <w:szCs w:val="24"/>
        </w:rPr>
        <w:t>Eskoba</w:t>
      </w:r>
      <w:proofErr w:type="spellEnd"/>
      <w:r w:rsidRPr="00482B94">
        <w:rPr>
          <w:rFonts w:ascii="Bookman Old Style" w:hAnsi="Bookman Old Style"/>
          <w:sz w:val="24"/>
          <w:szCs w:val="24"/>
        </w:rPr>
        <w:t xml:space="preserve">®, </w:t>
      </w:r>
      <w:proofErr w:type="spellStart"/>
      <w:r w:rsidRPr="00482B94">
        <w:rPr>
          <w:rFonts w:ascii="Bookman Old Style" w:hAnsi="Bookman Old Style"/>
          <w:sz w:val="24"/>
          <w:szCs w:val="24"/>
        </w:rPr>
        <w:t>Glifosur</w:t>
      </w:r>
      <w:proofErr w:type="spellEnd"/>
      <w:r w:rsidRPr="00482B94">
        <w:rPr>
          <w:rFonts w:ascii="Bookman Old Style" w:hAnsi="Bookman Old Style"/>
          <w:sz w:val="24"/>
          <w:szCs w:val="24"/>
        </w:rPr>
        <w:t xml:space="preserve">®, </w:t>
      </w:r>
      <w:proofErr w:type="spellStart"/>
      <w:r w:rsidRPr="00482B94">
        <w:rPr>
          <w:rFonts w:ascii="Bookman Old Style" w:hAnsi="Bookman Old Style"/>
          <w:sz w:val="24"/>
          <w:szCs w:val="24"/>
        </w:rPr>
        <w:t>Panzer</w:t>
      </w:r>
      <w:proofErr w:type="spellEnd"/>
      <w:r w:rsidRPr="00482B94">
        <w:rPr>
          <w:rFonts w:ascii="Bookman Old Style" w:hAnsi="Bookman Old Style"/>
          <w:sz w:val="24"/>
          <w:szCs w:val="24"/>
        </w:rPr>
        <w:t xml:space="preserve">®, Glifosato Dow Agro®, </w:t>
      </w:r>
      <w:proofErr w:type="spellStart"/>
      <w:r w:rsidRPr="00482B94">
        <w:rPr>
          <w:rFonts w:ascii="Bookman Old Style" w:hAnsi="Bookman Old Style"/>
          <w:sz w:val="24"/>
          <w:szCs w:val="24"/>
        </w:rPr>
        <w:t>Gliphosan</w:t>
      </w:r>
      <w:proofErr w:type="spellEnd"/>
      <w:r w:rsidRPr="00482B94">
        <w:rPr>
          <w:rFonts w:ascii="Bookman Old Style" w:hAnsi="Bookman Old Style"/>
          <w:sz w:val="24"/>
          <w:szCs w:val="24"/>
        </w:rPr>
        <w:t xml:space="preserve"> 48®, </w:t>
      </w:r>
      <w:proofErr w:type="spellStart"/>
      <w:r w:rsidRPr="00482B94">
        <w:rPr>
          <w:rFonts w:ascii="Bookman Old Style" w:hAnsi="Bookman Old Style"/>
          <w:sz w:val="24"/>
          <w:szCs w:val="24"/>
        </w:rPr>
        <w:t>Panzer</w:t>
      </w:r>
      <w:proofErr w:type="spellEnd"/>
      <w:r w:rsidRPr="00482B94">
        <w:rPr>
          <w:rFonts w:ascii="Bookman Old Style" w:hAnsi="Bookman Old Style"/>
          <w:sz w:val="24"/>
          <w:szCs w:val="24"/>
        </w:rPr>
        <w:t xml:space="preserve"> Ultra®, </w:t>
      </w:r>
      <w:proofErr w:type="spellStart"/>
      <w:r w:rsidRPr="00482B94">
        <w:rPr>
          <w:rFonts w:ascii="Bookman Old Style" w:hAnsi="Bookman Old Style"/>
          <w:sz w:val="24"/>
          <w:szCs w:val="24"/>
        </w:rPr>
        <w:t>Panzer</w:t>
      </w:r>
      <w:proofErr w:type="spellEnd"/>
      <w:r w:rsidRPr="00482B94">
        <w:rPr>
          <w:rFonts w:ascii="Bookman Old Style" w:hAnsi="Bookman Old Style"/>
          <w:sz w:val="24"/>
          <w:szCs w:val="24"/>
        </w:rPr>
        <w:t xml:space="preserve"> Max®, Glifosato Dupont®, </w:t>
      </w:r>
      <w:proofErr w:type="spellStart"/>
      <w:r w:rsidRPr="00482B94">
        <w:rPr>
          <w:rFonts w:ascii="Bookman Old Style" w:hAnsi="Bookman Old Style"/>
          <w:sz w:val="24"/>
          <w:szCs w:val="24"/>
        </w:rPr>
        <w:t>Glicep</w:t>
      </w:r>
      <w:proofErr w:type="spellEnd"/>
      <w:r w:rsidRPr="00482B94">
        <w:rPr>
          <w:rFonts w:ascii="Bookman Old Style" w:hAnsi="Bookman Old Style"/>
          <w:sz w:val="24"/>
          <w:szCs w:val="24"/>
        </w:rPr>
        <w:t xml:space="preserve">®, </w:t>
      </w:r>
      <w:proofErr w:type="spellStart"/>
      <w:r w:rsidRPr="00482B94">
        <w:rPr>
          <w:rFonts w:ascii="Bookman Old Style" w:hAnsi="Bookman Old Style"/>
          <w:sz w:val="24"/>
          <w:szCs w:val="24"/>
        </w:rPr>
        <w:t>Formulagro</w:t>
      </w:r>
      <w:proofErr w:type="spellEnd"/>
      <w:r w:rsidRPr="00482B94">
        <w:rPr>
          <w:rFonts w:ascii="Bookman Old Style" w:hAnsi="Bookman Old Style"/>
          <w:sz w:val="24"/>
          <w:szCs w:val="24"/>
        </w:rPr>
        <w:t xml:space="preserve"> 48 l®, </w:t>
      </w:r>
      <w:proofErr w:type="spellStart"/>
      <w:r w:rsidRPr="00482B94">
        <w:rPr>
          <w:rFonts w:ascii="Bookman Old Style" w:hAnsi="Bookman Old Style"/>
          <w:sz w:val="24"/>
          <w:szCs w:val="24"/>
        </w:rPr>
        <w:t>Orion</w:t>
      </w:r>
      <w:proofErr w:type="spellEnd"/>
      <w:r w:rsidRPr="00482B94">
        <w:rPr>
          <w:rFonts w:ascii="Bookman Old Style" w:hAnsi="Bookman Old Style"/>
          <w:sz w:val="24"/>
          <w:szCs w:val="24"/>
        </w:rPr>
        <w:t xml:space="preserve"> 48 l </w:t>
      </w:r>
      <w:proofErr w:type="spellStart"/>
      <w:r w:rsidRPr="00482B94">
        <w:rPr>
          <w:rFonts w:ascii="Bookman Old Style" w:hAnsi="Bookman Old Style"/>
          <w:sz w:val="24"/>
          <w:szCs w:val="24"/>
        </w:rPr>
        <w:t>formulagro</w:t>
      </w:r>
      <w:proofErr w:type="spellEnd"/>
      <w:r w:rsidRPr="00482B94">
        <w:rPr>
          <w:rFonts w:ascii="Bookman Old Style" w:hAnsi="Bookman Old Style"/>
          <w:sz w:val="24"/>
          <w:szCs w:val="24"/>
        </w:rPr>
        <w:t xml:space="preserve">®, </w:t>
      </w:r>
      <w:proofErr w:type="spellStart"/>
      <w:r w:rsidRPr="00482B94">
        <w:rPr>
          <w:rFonts w:ascii="Bookman Old Style" w:hAnsi="Bookman Old Style"/>
          <w:sz w:val="24"/>
          <w:szCs w:val="24"/>
        </w:rPr>
        <w:t>Glifoglex</w:t>
      </w:r>
      <w:proofErr w:type="spellEnd"/>
      <w:r w:rsidRPr="00482B94">
        <w:rPr>
          <w:rFonts w:ascii="Bookman Old Style" w:hAnsi="Bookman Old Style"/>
          <w:sz w:val="24"/>
          <w:szCs w:val="24"/>
        </w:rPr>
        <w:t xml:space="preserve"> 48®, Glifosato Pasa®, </w:t>
      </w:r>
      <w:proofErr w:type="spellStart"/>
      <w:r w:rsidRPr="00482B94">
        <w:rPr>
          <w:rFonts w:ascii="Bookman Old Style" w:hAnsi="Bookman Old Style"/>
          <w:sz w:val="24"/>
          <w:szCs w:val="24"/>
        </w:rPr>
        <w:t>Glisato</w:t>
      </w:r>
      <w:proofErr w:type="spellEnd"/>
      <w:r w:rsidRPr="00482B94">
        <w:rPr>
          <w:rFonts w:ascii="Bookman Old Style" w:hAnsi="Bookman Old Style"/>
          <w:sz w:val="24"/>
          <w:szCs w:val="24"/>
        </w:rPr>
        <w:t xml:space="preserve">®, </w:t>
      </w:r>
      <w:proofErr w:type="spellStart"/>
      <w:r w:rsidRPr="00482B94">
        <w:rPr>
          <w:rFonts w:ascii="Bookman Old Style" w:hAnsi="Bookman Old Style"/>
          <w:sz w:val="24"/>
          <w:szCs w:val="24"/>
        </w:rPr>
        <w:t>Gligosato</w:t>
      </w:r>
      <w:proofErr w:type="spellEnd"/>
      <w:r w:rsidRPr="00482B94">
        <w:rPr>
          <w:rFonts w:ascii="Bookman Old Style" w:hAnsi="Bookman Old Style"/>
          <w:sz w:val="24"/>
          <w:szCs w:val="24"/>
        </w:rPr>
        <w:t xml:space="preserve"> 48 </w:t>
      </w:r>
      <w:proofErr w:type="spellStart"/>
      <w:r w:rsidRPr="00482B94">
        <w:rPr>
          <w:rFonts w:ascii="Bookman Old Style" w:hAnsi="Bookman Old Style"/>
          <w:sz w:val="24"/>
          <w:szCs w:val="24"/>
        </w:rPr>
        <w:t>Glencore</w:t>
      </w:r>
      <w:proofErr w:type="spellEnd"/>
      <w:r w:rsidRPr="00482B94">
        <w:rPr>
          <w:rFonts w:ascii="Bookman Old Style" w:hAnsi="Bookman Old Style"/>
          <w:sz w:val="24"/>
          <w:szCs w:val="24"/>
        </w:rPr>
        <w:t xml:space="preserve">®, </w:t>
      </w:r>
      <w:proofErr w:type="spellStart"/>
      <w:r w:rsidRPr="00482B94">
        <w:rPr>
          <w:rFonts w:ascii="Bookman Old Style" w:hAnsi="Bookman Old Style"/>
          <w:sz w:val="24"/>
          <w:szCs w:val="24"/>
        </w:rPr>
        <w:t>Glifoweed</w:t>
      </w:r>
      <w:proofErr w:type="spellEnd"/>
      <w:r w:rsidRPr="00482B94">
        <w:rPr>
          <w:rFonts w:ascii="Bookman Old Style" w:hAnsi="Bookman Old Style"/>
          <w:sz w:val="24"/>
          <w:szCs w:val="24"/>
        </w:rPr>
        <w:t xml:space="preserve"> 48®, </w:t>
      </w:r>
      <w:proofErr w:type="spellStart"/>
      <w:r w:rsidRPr="00482B94">
        <w:rPr>
          <w:rFonts w:ascii="Bookman Old Style" w:hAnsi="Bookman Old Style"/>
          <w:sz w:val="24"/>
          <w:szCs w:val="24"/>
        </w:rPr>
        <w:t>Glif</w:t>
      </w:r>
      <w:proofErr w:type="spellEnd"/>
      <w:r w:rsidRPr="00482B94">
        <w:rPr>
          <w:rFonts w:ascii="Bookman Old Style" w:hAnsi="Bookman Old Style"/>
          <w:sz w:val="24"/>
          <w:szCs w:val="24"/>
        </w:rPr>
        <w:t xml:space="preserve">®, Glifosato 48 </w:t>
      </w:r>
      <w:proofErr w:type="spellStart"/>
      <w:r w:rsidRPr="00482B94">
        <w:rPr>
          <w:rFonts w:ascii="Bookman Old Style" w:hAnsi="Bookman Old Style"/>
          <w:sz w:val="24"/>
          <w:szCs w:val="24"/>
        </w:rPr>
        <w:t>Oleosol</w:t>
      </w:r>
      <w:proofErr w:type="spellEnd"/>
      <w:r w:rsidRPr="00482B94">
        <w:rPr>
          <w:rFonts w:ascii="Bookman Old Style" w:hAnsi="Bookman Old Style"/>
          <w:sz w:val="24"/>
          <w:szCs w:val="24"/>
        </w:rPr>
        <w:t xml:space="preserve">®, </w:t>
      </w:r>
      <w:proofErr w:type="spellStart"/>
      <w:r w:rsidRPr="00482B94">
        <w:rPr>
          <w:rFonts w:ascii="Bookman Old Style" w:hAnsi="Bookman Old Style"/>
          <w:sz w:val="24"/>
          <w:szCs w:val="24"/>
        </w:rPr>
        <w:t>Ishiglifosato</w:t>
      </w:r>
      <w:proofErr w:type="spellEnd"/>
      <w:r w:rsidRPr="00482B94">
        <w:rPr>
          <w:rFonts w:ascii="Bookman Old Style" w:hAnsi="Bookman Old Style"/>
          <w:sz w:val="24"/>
          <w:szCs w:val="24"/>
        </w:rPr>
        <w:t xml:space="preserve">®, Glifosato Nova®, </w:t>
      </w:r>
      <w:proofErr w:type="spellStart"/>
      <w:r w:rsidRPr="00482B94">
        <w:rPr>
          <w:rFonts w:ascii="Bookman Old Style" w:hAnsi="Bookman Old Style"/>
          <w:sz w:val="24"/>
          <w:szCs w:val="24"/>
        </w:rPr>
        <w:t>Stapor</w:t>
      </w:r>
      <w:proofErr w:type="spellEnd"/>
      <w:r w:rsidRPr="00482B94">
        <w:rPr>
          <w:rFonts w:ascii="Bookman Old Style" w:hAnsi="Bookman Old Style"/>
          <w:sz w:val="24"/>
          <w:szCs w:val="24"/>
        </w:rPr>
        <w:t xml:space="preserve">®, Glifosato </w:t>
      </w:r>
      <w:proofErr w:type="spellStart"/>
      <w:r w:rsidRPr="00482B94">
        <w:rPr>
          <w:rFonts w:ascii="Bookman Old Style" w:hAnsi="Bookman Old Style"/>
          <w:sz w:val="24"/>
          <w:szCs w:val="24"/>
        </w:rPr>
        <w:t>lq</w:t>
      </w:r>
      <w:proofErr w:type="spellEnd"/>
      <w:r w:rsidRPr="00482B94">
        <w:rPr>
          <w:rFonts w:ascii="Bookman Old Style" w:hAnsi="Bookman Old Style"/>
          <w:sz w:val="24"/>
          <w:szCs w:val="24"/>
        </w:rPr>
        <w:t xml:space="preserve"> 48®, </w:t>
      </w:r>
      <w:proofErr w:type="spellStart"/>
      <w:r w:rsidRPr="00482B94">
        <w:rPr>
          <w:rFonts w:ascii="Bookman Old Style" w:hAnsi="Bookman Old Style"/>
          <w:sz w:val="24"/>
          <w:szCs w:val="24"/>
        </w:rPr>
        <w:t>Lerosato</w:t>
      </w:r>
      <w:proofErr w:type="spellEnd"/>
      <w:r w:rsidRPr="00482B94">
        <w:rPr>
          <w:rFonts w:ascii="Bookman Old Style" w:hAnsi="Bookman Old Style"/>
          <w:sz w:val="24"/>
          <w:szCs w:val="24"/>
        </w:rPr>
        <w:t xml:space="preserve">®, </w:t>
      </w:r>
      <w:proofErr w:type="spellStart"/>
      <w:r w:rsidRPr="00482B94">
        <w:rPr>
          <w:rFonts w:ascii="Bookman Old Style" w:hAnsi="Bookman Old Style"/>
          <w:sz w:val="24"/>
          <w:szCs w:val="24"/>
        </w:rPr>
        <w:t>Glifogan</w:t>
      </w:r>
      <w:proofErr w:type="spellEnd"/>
      <w:r w:rsidRPr="00482B94">
        <w:rPr>
          <w:rFonts w:ascii="Bookman Old Style" w:hAnsi="Bookman Old Style"/>
          <w:sz w:val="24"/>
          <w:szCs w:val="24"/>
        </w:rPr>
        <w:t xml:space="preserve">®, Glifosato 48 Defensa®, </w:t>
      </w:r>
      <w:proofErr w:type="spellStart"/>
      <w:r w:rsidRPr="00482B94">
        <w:rPr>
          <w:rFonts w:ascii="Bookman Old Style" w:hAnsi="Bookman Old Style"/>
          <w:sz w:val="24"/>
          <w:szCs w:val="24"/>
        </w:rPr>
        <w:t>TropPsa</w:t>
      </w:r>
      <w:proofErr w:type="spellEnd"/>
      <w:r w:rsidRPr="00482B94">
        <w:rPr>
          <w:rFonts w:ascii="Bookman Old Style" w:hAnsi="Bookman Old Style"/>
          <w:sz w:val="24"/>
          <w:szCs w:val="24"/>
        </w:rPr>
        <w:t xml:space="preserve">®, </w:t>
      </w:r>
      <w:proofErr w:type="spellStart"/>
      <w:r w:rsidRPr="00482B94">
        <w:rPr>
          <w:rFonts w:ascii="Bookman Old Style" w:hAnsi="Bookman Old Style"/>
          <w:sz w:val="24"/>
          <w:szCs w:val="24"/>
        </w:rPr>
        <w:t>Polado</w:t>
      </w:r>
      <w:proofErr w:type="spellEnd"/>
      <w:r w:rsidRPr="00482B94">
        <w:rPr>
          <w:rFonts w:ascii="Bookman Old Style" w:hAnsi="Bookman Old Style"/>
          <w:sz w:val="24"/>
          <w:szCs w:val="24"/>
        </w:rPr>
        <w:t xml:space="preserve">®, </w:t>
      </w:r>
      <w:proofErr w:type="spellStart"/>
      <w:r w:rsidRPr="00482B94">
        <w:rPr>
          <w:rFonts w:ascii="Bookman Old Style" w:hAnsi="Bookman Old Style"/>
          <w:sz w:val="24"/>
          <w:szCs w:val="24"/>
        </w:rPr>
        <w:t>Roundup</w:t>
      </w:r>
      <w:proofErr w:type="spellEnd"/>
      <w:r w:rsidRPr="00482B94">
        <w:rPr>
          <w:rFonts w:ascii="Bookman Old Style" w:hAnsi="Bookman Old Style"/>
          <w:sz w:val="24"/>
          <w:szCs w:val="24"/>
        </w:rPr>
        <w:t xml:space="preserve">®, Glifosato La Tijereta®, Faena®, </w:t>
      </w:r>
      <w:proofErr w:type="spellStart"/>
      <w:r w:rsidRPr="00482B94">
        <w:rPr>
          <w:rFonts w:ascii="Bookman Old Style" w:hAnsi="Bookman Old Style"/>
          <w:sz w:val="24"/>
          <w:szCs w:val="24"/>
        </w:rPr>
        <w:t>Roundup</w:t>
      </w:r>
      <w:proofErr w:type="spellEnd"/>
      <w:r w:rsidRPr="00482B94">
        <w:rPr>
          <w:rFonts w:ascii="Bookman Old Style" w:hAnsi="Bookman Old Style"/>
          <w:sz w:val="24"/>
          <w:szCs w:val="24"/>
        </w:rPr>
        <w:t xml:space="preserve"> Quick®, </w:t>
      </w:r>
      <w:proofErr w:type="spellStart"/>
      <w:r w:rsidRPr="00482B94">
        <w:rPr>
          <w:rFonts w:ascii="Bookman Old Style" w:hAnsi="Bookman Old Style"/>
          <w:sz w:val="24"/>
          <w:szCs w:val="24"/>
        </w:rPr>
        <w:t>Roundup</w:t>
      </w:r>
      <w:proofErr w:type="spellEnd"/>
      <w:r w:rsidRPr="00482B94">
        <w:rPr>
          <w:rFonts w:ascii="Bookman Old Style" w:hAnsi="Bookman Old Style"/>
          <w:sz w:val="24"/>
          <w:szCs w:val="24"/>
        </w:rPr>
        <w:t xml:space="preserve"> Max®, </w:t>
      </w:r>
      <w:proofErr w:type="spellStart"/>
      <w:r w:rsidRPr="00482B94">
        <w:rPr>
          <w:rFonts w:ascii="Bookman Old Style" w:hAnsi="Bookman Old Style"/>
          <w:sz w:val="24"/>
          <w:szCs w:val="24"/>
        </w:rPr>
        <w:t>Roundup</w:t>
      </w:r>
      <w:proofErr w:type="spellEnd"/>
      <w:r w:rsidRPr="00482B94">
        <w:rPr>
          <w:rFonts w:ascii="Bookman Old Style" w:hAnsi="Bookman Old Style"/>
          <w:sz w:val="24"/>
          <w:szCs w:val="24"/>
        </w:rPr>
        <w:t xml:space="preserve"> Extra®, </w:t>
      </w:r>
      <w:proofErr w:type="spellStart"/>
      <w:r w:rsidRPr="00482B94">
        <w:rPr>
          <w:rFonts w:ascii="Bookman Old Style" w:hAnsi="Bookman Old Style"/>
          <w:sz w:val="24"/>
          <w:szCs w:val="24"/>
        </w:rPr>
        <w:t>Roundup</w:t>
      </w:r>
      <w:proofErr w:type="spellEnd"/>
      <w:r w:rsidRPr="00482B94">
        <w:rPr>
          <w:rFonts w:ascii="Bookman Old Style" w:hAnsi="Bookman Old Style"/>
          <w:sz w:val="24"/>
          <w:szCs w:val="24"/>
        </w:rPr>
        <w:t xml:space="preserve"> Full®, </w:t>
      </w:r>
      <w:proofErr w:type="spellStart"/>
      <w:r w:rsidRPr="00482B94">
        <w:rPr>
          <w:rFonts w:ascii="Bookman Old Style" w:hAnsi="Bookman Old Style"/>
          <w:sz w:val="24"/>
          <w:szCs w:val="24"/>
        </w:rPr>
        <w:t>Squadron</w:t>
      </w:r>
      <w:proofErr w:type="spellEnd"/>
      <w:r w:rsidRPr="00482B94">
        <w:rPr>
          <w:rFonts w:ascii="Bookman Old Style" w:hAnsi="Bookman Old Style"/>
          <w:sz w:val="24"/>
          <w:szCs w:val="24"/>
        </w:rPr>
        <w:t xml:space="preserve">®, </w:t>
      </w:r>
      <w:proofErr w:type="spellStart"/>
      <w:r w:rsidRPr="00482B94">
        <w:rPr>
          <w:rFonts w:ascii="Bookman Old Style" w:hAnsi="Bookman Old Style"/>
          <w:sz w:val="24"/>
          <w:szCs w:val="24"/>
        </w:rPr>
        <w:t>RoundupFormulacion</w:t>
      </w:r>
      <w:proofErr w:type="spellEnd"/>
      <w:r w:rsidRPr="00482B94">
        <w:rPr>
          <w:rFonts w:ascii="Bookman Old Style" w:hAnsi="Bookman Old Style"/>
          <w:sz w:val="24"/>
          <w:szCs w:val="24"/>
        </w:rPr>
        <w:t xml:space="preserve"> granulada®, </w:t>
      </w:r>
      <w:proofErr w:type="spellStart"/>
      <w:r w:rsidRPr="00482B94">
        <w:rPr>
          <w:rFonts w:ascii="Bookman Old Style" w:hAnsi="Bookman Old Style"/>
          <w:sz w:val="24"/>
          <w:szCs w:val="24"/>
        </w:rPr>
        <w:t>Lurol</w:t>
      </w:r>
      <w:proofErr w:type="spellEnd"/>
      <w:r w:rsidRPr="00482B94">
        <w:rPr>
          <w:rFonts w:ascii="Bookman Old Style" w:hAnsi="Bookman Old Style"/>
          <w:sz w:val="24"/>
          <w:szCs w:val="24"/>
        </w:rPr>
        <w:t xml:space="preserve">®, Glifosato Zamba®, Glifosato 48 </w:t>
      </w:r>
      <w:proofErr w:type="spellStart"/>
      <w:r w:rsidRPr="00482B94">
        <w:rPr>
          <w:rFonts w:ascii="Bookman Old Style" w:hAnsi="Bookman Old Style"/>
          <w:sz w:val="24"/>
          <w:szCs w:val="24"/>
        </w:rPr>
        <w:t>Nitrap</w:t>
      </w:r>
      <w:proofErr w:type="spellEnd"/>
      <w:r w:rsidRPr="00482B94">
        <w:rPr>
          <w:rFonts w:ascii="Bookman Old Style" w:hAnsi="Bookman Old Style"/>
          <w:sz w:val="24"/>
          <w:szCs w:val="24"/>
        </w:rPr>
        <w:t xml:space="preserve">®, </w:t>
      </w:r>
      <w:proofErr w:type="spellStart"/>
      <w:r w:rsidRPr="00482B94">
        <w:rPr>
          <w:rFonts w:ascii="Bookman Old Style" w:hAnsi="Bookman Old Style"/>
          <w:sz w:val="24"/>
          <w:szCs w:val="24"/>
        </w:rPr>
        <w:t>Credit</w:t>
      </w:r>
      <w:proofErr w:type="spellEnd"/>
      <w:r w:rsidRPr="00482B94">
        <w:rPr>
          <w:rFonts w:ascii="Bookman Old Style" w:hAnsi="Bookman Old Style"/>
          <w:sz w:val="24"/>
          <w:szCs w:val="24"/>
        </w:rPr>
        <w:t xml:space="preserve">®, </w:t>
      </w:r>
      <w:proofErr w:type="spellStart"/>
      <w:r w:rsidRPr="00482B94">
        <w:rPr>
          <w:rFonts w:ascii="Bookman Old Style" w:hAnsi="Bookman Old Style"/>
          <w:sz w:val="24"/>
          <w:szCs w:val="24"/>
        </w:rPr>
        <w:t>Glisal</w:t>
      </w:r>
      <w:proofErr w:type="spellEnd"/>
      <w:r w:rsidRPr="00482B94">
        <w:rPr>
          <w:rFonts w:ascii="Bookman Old Style" w:hAnsi="Bookman Old Style"/>
          <w:sz w:val="24"/>
          <w:szCs w:val="24"/>
        </w:rPr>
        <w:t xml:space="preserve">®, </w:t>
      </w:r>
      <w:proofErr w:type="spellStart"/>
      <w:r w:rsidRPr="00482B94">
        <w:rPr>
          <w:rFonts w:ascii="Bookman Old Style" w:hAnsi="Bookman Old Style"/>
          <w:sz w:val="24"/>
          <w:szCs w:val="24"/>
        </w:rPr>
        <w:t>Daargus</w:t>
      </w:r>
      <w:proofErr w:type="spellEnd"/>
      <w:r w:rsidRPr="00482B94">
        <w:rPr>
          <w:rFonts w:ascii="Bookman Old Style" w:hAnsi="Bookman Old Style"/>
          <w:sz w:val="24"/>
          <w:szCs w:val="24"/>
        </w:rPr>
        <w:t xml:space="preserve">®, </w:t>
      </w:r>
      <w:proofErr w:type="spellStart"/>
      <w:r w:rsidRPr="00482B94">
        <w:rPr>
          <w:rFonts w:ascii="Bookman Old Style" w:hAnsi="Bookman Old Style"/>
          <w:sz w:val="24"/>
          <w:szCs w:val="24"/>
        </w:rPr>
        <w:t>Galgopol</w:t>
      </w:r>
      <w:proofErr w:type="spellEnd"/>
      <w:r w:rsidRPr="00482B94">
        <w:rPr>
          <w:rFonts w:ascii="Bookman Old Style" w:hAnsi="Bookman Old Style"/>
          <w:sz w:val="24"/>
          <w:szCs w:val="24"/>
        </w:rPr>
        <w:t xml:space="preserve">®, Rondo®, Rondo </w:t>
      </w:r>
      <w:proofErr w:type="spellStart"/>
      <w:r w:rsidRPr="00482B94">
        <w:rPr>
          <w:rFonts w:ascii="Bookman Old Style" w:hAnsi="Bookman Old Style"/>
          <w:sz w:val="24"/>
          <w:szCs w:val="24"/>
        </w:rPr>
        <w:t>logico</w:t>
      </w:r>
      <w:proofErr w:type="spellEnd"/>
      <w:r w:rsidRPr="00482B94">
        <w:rPr>
          <w:rFonts w:ascii="Bookman Old Style" w:hAnsi="Bookman Old Style"/>
          <w:sz w:val="24"/>
          <w:szCs w:val="24"/>
        </w:rPr>
        <w:t xml:space="preserve">®, Rondo </w:t>
      </w:r>
      <w:proofErr w:type="spellStart"/>
      <w:r w:rsidRPr="00482B94">
        <w:rPr>
          <w:rFonts w:ascii="Bookman Old Style" w:hAnsi="Bookman Old Style"/>
          <w:sz w:val="24"/>
          <w:szCs w:val="24"/>
        </w:rPr>
        <w:t>Super</w:t>
      </w:r>
      <w:proofErr w:type="spellEnd"/>
      <w:r w:rsidRPr="00482B94">
        <w:rPr>
          <w:rFonts w:ascii="Bookman Old Style" w:hAnsi="Bookman Old Style"/>
          <w:sz w:val="24"/>
          <w:szCs w:val="24"/>
        </w:rPr>
        <w:t xml:space="preserve">®, </w:t>
      </w:r>
      <w:proofErr w:type="spellStart"/>
      <w:r w:rsidRPr="00482B94">
        <w:rPr>
          <w:rFonts w:ascii="Bookman Old Style" w:hAnsi="Bookman Old Style"/>
          <w:sz w:val="24"/>
          <w:szCs w:val="24"/>
        </w:rPr>
        <w:t>Glifovan</w:t>
      </w:r>
      <w:proofErr w:type="spellEnd"/>
      <w:r w:rsidRPr="00482B94">
        <w:rPr>
          <w:rFonts w:ascii="Bookman Old Style" w:hAnsi="Bookman Old Style"/>
          <w:sz w:val="24"/>
          <w:szCs w:val="24"/>
        </w:rPr>
        <w:t xml:space="preserve">®, Glifosato 48 </w:t>
      </w:r>
      <w:proofErr w:type="spellStart"/>
      <w:r w:rsidRPr="00482B94">
        <w:rPr>
          <w:rFonts w:ascii="Bookman Old Style" w:hAnsi="Bookman Old Style"/>
          <w:sz w:val="24"/>
          <w:szCs w:val="24"/>
        </w:rPr>
        <w:t>Sem</w:t>
      </w:r>
      <w:proofErr w:type="spellEnd"/>
      <w:r w:rsidRPr="00482B94">
        <w:rPr>
          <w:rFonts w:ascii="Bookman Old Style" w:hAnsi="Bookman Old Style"/>
          <w:sz w:val="24"/>
          <w:szCs w:val="24"/>
        </w:rPr>
        <w:t xml:space="preserve">®, </w:t>
      </w:r>
      <w:proofErr w:type="spellStart"/>
      <w:r w:rsidRPr="00482B94">
        <w:rPr>
          <w:rFonts w:ascii="Bookman Old Style" w:hAnsi="Bookman Old Style"/>
          <w:sz w:val="24"/>
          <w:szCs w:val="24"/>
        </w:rPr>
        <w:t>Sumiglifo</w:t>
      </w:r>
      <w:proofErr w:type="spellEnd"/>
      <w:r w:rsidRPr="00482B94">
        <w:rPr>
          <w:rFonts w:ascii="Bookman Old Style" w:hAnsi="Bookman Old Style"/>
          <w:sz w:val="24"/>
          <w:szCs w:val="24"/>
        </w:rPr>
        <w:t xml:space="preserve">®, </w:t>
      </w:r>
      <w:proofErr w:type="spellStart"/>
      <w:r w:rsidRPr="00482B94">
        <w:rPr>
          <w:rFonts w:ascii="Bookman Old Style" w:hAnsi="Bookman Old Style"/>
          <w:sz w:val="24"/>
          <w:szCs w:val="24"/>
        </w:rPr>
        <w:t>Sulfosato</w:t>
      </w:r>
      <w:proofErr w:type="spellEnd"/>
      <w:r w:rsidRPr="00482B94">
        <w:rPr>
          <w:rFonts w:ascii="Bookman Old Style" w:hAnsi="Bookman Old Style"/>
          <w:sz w:val="24"/>
          <w:szCs w:val="24"/>
        </w:rPr>
        <w:t xml:space="preserve">®, </w:t>
      </w:r>
      <w:proofErr w:type="spellStart"/>
      <w:r w:rsidRPr="00482B94">
        <w:rPr>
          <w:rFonts w:ascii="Bookman Old Style" w:hAnsi="Bookman Old Style"/>
          <w:sz w:val="24"/>
          <w:szCs w:val="24"/>
        </w:rPr>
        <w:t>Controler</w:t>
      </w:r>
      <w:proofErr w:type="spellEnd"/>
      <w:r w:rsidRPr="00482B94">
        <w:rPr>
          <w:rFonts w:ascii="Bookman Old Style" w:hAnsi="Bookman Old Style"/>
          <w:sz w:val="24"/>
          <w:szCs w:val="24"/>
        </w:rPr>
        <w:t xml:space="preserve">®, </w:t>
      </w:r>
      <w:proofErr w:type="spellStart"/>
      <w:r w:rsidRPr="00482B94">
        <w:rPr>
          <w:rFonts w:ascii="Bookman Old Style" w:hAnsi="Bookman Old Style"/>
          <w:sz w:val="24"/>
          <w:szCs w:val="24"/>
        </w:rPr>
        <w:t>Rinder</w:t>
      </w:r>
      <w:proofErr w:type="spellEnd"/>
      <w:r w:rsidRPr="00482B94">
        <w:rPr>
          <w:rFonts w:ascii="Bookman Old Style" w:hAnsi="Bookman Old Style"/>
          <w:sz w:val="24"/>
          <w:szCs w:val="24"/>
        </w:rPr>
        <w:t>®, Ex-</w:t>
      </w:r>
      <w:proofErr w:type="spellStart"/>
      <w:r w:rsidRPr="00482B94">
        <w:rPr>
          <w:rFonts w:ascii="Bookman Old Style" w:hAnsi="Bookman Old Style"/>
          <w:sz w:val="24"/>
          <w:szCs w:val="24"/>
        </w:rPr>
        <w:t>Weed</w:t>
      </w:r>
      <w:proofErr w:type="spellEnd"/>
      <w:r w:rsidRPr="00482B94">
        <w:rPr>
          <w:rFonts w:ascii="Bookman Old Style" w:hAnsi="Bookman Old Style"/>
          <w:sz w:val="24"/>
          <w:szCs w:val="24"/>
        </w:rPr>
        <w:t xml:space="preserve"> 48®, Potenza®, </w:t>
      </w:r>
      <w:proofErr w:type="spellStart"/>
      <w:r w:rsidRPr="00482B94">
        <w:rPr>
          <w:rFonts w:ascii="Bookman Old Style" w:hAnsi="Bookman Old Style"/>
          <w:sz w:val="24"/>
          <w:szCs w:val="24"/>
        </w:rPr>
        <w:t>Rophosate</w:t>
      </w:r>
      <w:proofErr w:type="spellEnd"/>
      <w:r w:rsidRPr="00482B94">
        <w:rPr>
          <w:rFonts w:ascii="Bookman Old Style" w:hAnsi="Bookman Old Style"/>
          <w:sz w:val="24"/>
          <w:szCs w:val="24"/>
        </w:rPr>
        <w:t xml:space="preserve">®, </w:t>
      </w:r>
      <w:proofErr w:type="spellStart"/>
      <w:r w:rsidRPr="00482B94">
        <w:rPr>
          <w:rFonts w:ascii="Bookman Old Style" w:hAnsi="Bookman Old Style"/>
          <w:sz w:val="24"/>
          <w:szCs w:val="24"/>
        </w:rPr>
        <w:t>Aca</w:t>
      </w:r>
      <w:proofErr w:type="spellEnd"/>
      <w:r w:rsidRPr="00482B94">
        <w:rPr>
          <w:rFonts w:ascii="Bookman Old Style" w:hAnsi="Bookman Old Style"/>
          <w:sz w:val="24"/>
          <w:szCs w:val="24"/>
        </w:rPr>
        <w:t xml:space="preserve"> Full®, </w:t>
      </w:r>
      <w:proofErr w:type="spellStart"/>
      <w:r w:rsidRPr="00482B94">
        <w:rPr>
          <w:rFonts w:ascii="Bookman Old Style" w:hAnsi="Bookman Old Style"/>
          <w:sz w:val="24"/>
          <w:szCs w:val="24"/>
        </w:rPr>
        <w:t>Fcm</w:t>
      </w:r>
      <w:proofErr w:type="spellEnd"/>
      <w:r w:rsidRPr="00482B94">
        <w:rPr>
          <w:rFonts w:ascii="Bookman Old Style" w:hAnsi="Bookman Old Style"/>
          <w:sz w:val="24"/>
          <w:szCs w:val="24"/>
        </w:rPr>
        <w:t xml:space="preserve"> Glifosato®, </w:t>
      </w:r>
      <w:proofErr w:type="spellStart"/>
      <w:r w:rsidRPr="00482B94">
        <w:rPr>
          <w:rFonts w:ascii="Bookman Old Style" w:hAnsi="Bookman Old Style"/>
          <w:sz w:val="24"/>
          <w:szCs w:val="24"/>
        </w:rPr>
        <w:t>Glifotex</w:t>
      </w:r>
      <w:proofErr w:type="spellEnd"/>
      <w:r w:rsidRPr="00482B94">
        <w:rPr>
          <w:rFonts w:ascii="Bookman Old Style" w:hAnsi="Bookman Old Style"/>
          <w:sz w:val="24"/>
          <w:szCs w:val="24"/>
        </w:rPr>
        <w:t xml:space="preserve"> 48®, Stand-</w:t>
      </w:r>
      <w:proofErr w:type="spellStart"/>
      <w:r w:rsidRPr="00482B94">
        <w:rPr>
          <w:rFonts w:ascii="Bookman Old Style" w:hAnsi="Bookman Old Style"/>
          <w:sz w:val="24"/>
          <w:szCs w:val="24"/>
        </w:rPr>
        <w:t>Out</w:t>
      </w:r>
      <w:proofErr w:type="spellEnd"/>
      <w:r w:rsidRPr="00482B94">
        <w:rPr>
          <w:rFonts w:ascii="Bookman Old Style" w:hAnsi="Bookman Old Style"/>
          <w:sz w:val="24"/>
          <w:szCs w:val="24"/>
        </w:rPr>
        <w:t xml:space="preserve">®, Alteza®, </w:t>
      </w:r>
      <w:proofErr w:type="spellStart"/>
      <w:r w:rsidRPr="00482B94">
        <w:rPr>
          <w:rFonts w:ascii="Bookman Old Style" w:hAnsi="Bookman Old Style"/>
          <w:sz w:val="24"/>
          <w:szCs w:val="24"/>
        </w:rPr>
        <w:t>Glifmix</w:t>
      </w:r>
      <w:proofErr w:type="spellEnd"/>
      <w:r w:rsidRPr="00482B94">
        <w:rPr>
          <w:rFonts w:ascii="Bookman Old Style" w:hAnsi="Bookman Old Style"/>
          <w:sz w:val="24"/>
          <w:szCs w:val="24"/>
        </w:rPr>
        <w:t xml:space="preserve">®, </w:t>
      </w:r>
      <w:proofErr w:type="spellStart"/>
      <w:r w:rsidRPr="00482B94">
        <w:rPr>
          <w:rFonts w:ascii="Bookman Old Style" w:hAnsi="Bookman Old Style"/>
          <w:sz w:val="24"/>
          <w:szCs w:val="24"/>
        </w:rPr>
        <w:t>Sulfosato</w:t>
      </w:r>
      <w:proofErr w:type="spellEnd"/>
      <w:r w:rsidRPr="00482B94">
        <w:rPr>
          <w:rFonts w:ascii="Bookman Old Style" w:hAnsi="Bookman Old Style"/>
          <w:sz w:val="24"/>
          <w:szCs w:val="24"/>
        </w:rPr>
        <w:t xml:space="preserve"> Touchdown®, </w:t>
      </w:r>
      <w:proofErr w:type="spellStart"/>
      <w:r w:rsidRPr="00482B94">
        <w:rPr>
          <w:rFonts w:ascii="Bookman Old Style" w:hAnsi="Bookman Old Style"/>
          <w:sz w:val="24"/>
          <w:szCs w:val="24"/>
        </w:rPr>
        <w:t>OneShot</w:t>
      </w:r>
      <w:proofErr w:type="spellEnd"/>
      <w:r w:rsidRPr="00482B94">
        <w:rPr>
          <w:rFonts w:ascii="Bookman Old Style" w:hAnsi="Bookman Old Style"/>
          <w:sz w:val="24"/>
          <w:szCs w:val="24"/>
        </w:rPr>
        <w:t xml:space="preserve">®, </w:t>
      </w:r>
      <w:proofErr w:type="spellStart"/>
      <w:r w:rsidRPr="00482B94">
        <w:rPr>
          <w:rFonts w:ascii="Bookman Old Style" w:hAnsi="Bookman Old Style"/>
          <w:sz w:val="24"/>
          <w:szCs w:val="24"/>
        </w:rPr>
        <w:t>Flier</w:t>
      </w:r>
      <w:proofErr w:type="spellEnd"/>
      <w:r w:rsidRPr="00482B94">
        <w:rPr>
          <w:rFonts w:ascii="Bookman Old Style" w:hAnsi="Bookman Old Style"/>
          <w:sz w:val="24"/>
          <w:szCs w:val="24"/>
        </w:rPr>
        <w:t>® (SENASA, 2002).</w:t>
      </w:r>
    </w:p>
    <w:p w:rsidR="0032144C" w:rsidRDefault="0032144C" w:rsidP="00482B94">
      <w:pPr>
        <w:spacing w:before="240" w:line="360" w:lineRule="auto"/>
        <w:jc w:val="both"/>
        <w:rPr>
          <w:rFonts w:ascii="Bookman Old Style" w:hAnsi="Bookman Old Style"/>
          <w:sz w:val="24"/>
          <w:szCs w:val="24"/>
        </w:rPr>
      </w:pPr>
    </w:p>
    <w:p w:rsidR="00B37CBF" w:rsidRDefault="00B37CBF" w:rsidP="00482B94">
      <w:pPr>
        <w:spacing w:before="240" w:line="360" w:lineRule="auto"/>
        <w:jc w:val="both"/>
        <w:rPr>
          <w:rFonts w:ascii="Bookman Old Style" w:hAnsi="Bookman Old Style"/>
          <w:sz w:val="24"/>
          <w:szCs w:val="24"/>
        </w:rPr>
      </w:pPr>
    </w:p>
    <w:p w:rsidR="00B37CBF" w:rsidRDefault="00B37CBF" w:rsidP="00B37CBF">
      <w:pPr>
        <w:ind w:firstLine="708"/>
      </w:pPr>
      <w:r>
        <w:rPr>
          <w:noProof/>
          <w:lang w:eastAsia="es-ES"/>
        </w:rPr>
        <w:lastRenderedPageBreak/>
        <w:drawing>
          <wp:inline distT="0" distB="0" distL="0" distR="0">
            <wp:extent cx="590550" cy="6858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inline>
        </w:drawing>
      </w:r>
    </w:p>
    <w:p w:rsidR="00B37CBF" w:rsidRPr="00B37CBF" w:rsidRDefault="00B37CBF" w:rsidP="00B37CBF">
      <w:pPr>
        <w:pStyle w:val="Ttulo4"/>
        <w:rPr>
          <w:color w:val="auto"/>
          <w:u w:val="single"/>
        </w:rPr>
      </w:pPr>
      <w:r w:rsidRPr="00B37CBF">
        <w:rPr>
          <w:i w:val="0"/>
          <w:color w:val="auto"/>
        </w:rPr>
        <w:t>Departamento Ejecutivo</w:t>
      </w:r>
    </w:p>
    <w:p w:rsidR="00B37CBF" w:rsidRDefault="00B37CBF" w:rsidP="00B37CBF">
      <w:pPr>
        <w:rPr>
          <w:rFonts w:ascii="Arial" w:hAnsi="Arial"/>
          <w:sz w:val="24"/>
        </w:rPr>
      </w:pPr>
    </w:p>
    <w:p w:rsidR="00B37CBF" w:rsidRDefault="00B37CBF" w:rsidP="00B37CBF">
      <w:pPr>
        <w:pStyle w:val="Ttulo2"/>
        <w:jc w:val="right"/>
        <w:rPr>
          <w:rFonts w:ascii="Arial" w:hAnsi="Arial"/>
          <w:sz w:val="24"/>
        </w:rPr>
      </w:pPr>
      <w:r>
        <w:rPr>
          <w:rFonts w:ascii="Arial" w:hAnsi="Arial"/>
          <w:sz w:val="24"/>
        </w:rPr>
        <w:t>DECRETO Nº 1219/2018</w:t>
      </w:r>
    </w:p>
    <w:p w:rsidR="00B37CBF" w:rsidRDefault="00B37CBF" w:rsidP="00B37CBF">
      <w:pPr>
        <w:rPr>
          <w:rFonts w:ascii="Arial" w:hAnsi="Arial"/>
          <w:sz w:val="24"/>
        </w:rPr>
      </w:pPr>
    </w:p>
    <w:p w:rsidR="00B37CBF" w:rsidRPr="00B37CBF" w:rsidRDefault="00B37CBF" w:rsidP="00B37CBF">
      <w:pPr>
        <w:pStyle w:val="Ttulo3"/>
        <w:jc w:val="right"/>
        <w:rPr>
          <w:rFonts w:ascii="Arial" w:hAnsi="Arial"/>
          <w:color w:val="auto"/>
          <w:sz w:val="24"/>
        </w:rPr>
      </w:pPr>
      <w:r w:rsidRPr="00B37CBF">
        <w:rPr>
          <w:color w:val="auto"/>
        </w:rPr>
        <w:t>SAN JOSÉ DE GUALEGUAYCHÚ, 18 de abril de 2018</w:t>
      </w:r>
    </w:p>
    <w:p w:rsidR="00B37CBF" w:rsidRDefault="00B37CBF" w:rsidP="00B37CBF">
      <w:pPr>
        <w:jc w:val="both"/>
        <w:rPr>
          <w:rFonts w:ascii="Arial" w:hAnsi="Arial"/>
          <w:sz w:val="24"/>
        </w:rPr>
      </w:pPr>
    </w:p>
    <w:p w:rsidR="00B37CBF" w:rsidRDefault="00B37CBF" w:rsidP="00B37CBF">
      <w:pPr>
        <w:ind w:firstLine="708"/>
        <w:jc w:val="both"/>
        <w:rPr>
          <w:rFonts w:ascii="Arial" w:hAnsi="Arial"/>
          <w:sz w:val="24"/>
        </w:rPr>
      </w:pPr>
      <w:r>
        <w:rPr>
          <w:rFonts w:ascii="Arial" w:hAnsi="Arial"/>
          <w:sz w:val="24"/>
        </w:rPr>
        <w:t xml:space="preserve">VISTO: </w:t>
      </w:r>
      <w:smartTag w:uri="urn:schemas-microsoft-com:office:smarttags" w:element="PersonName">
        <w:smartTagPr>
          <w:attr w:name="ProductID" w:val="la Ordenanza N"/>
        </w:smartTagPr>
        <w:r>
          <w:rPr>
            <w:rFonts w:ascii="Arial" w:hAnsi="Arial"/>
            <w:sz w:val="24"/>
          </w:rPr>
          <w:t>La Ordenanza N</w:t>
        </w:r>
      </w:smartTag>
      <w:r>
        <w:rPr>
          <w:rFonts w:ascii="Arial" w:hAnsi="Arial"/>
          <w:sz w:val="24"/>
        </w:rPr>
        <w:t>º 12.216/2018, sancionada por el Honorable Concejo Deliberante, en fecha 16 de abril del año 2018; y</w:t>
      </w:r>
    </w:p>
    <w:p w:rsidR="00B37CBF" w:rsidRDefault="00B37CBF" w:rsidP="00B37CBF">
      <w:pPr>
        <w:ind w:firstLine="708"/>
        <w:jc w:val="both"/>
        <w:rPr>
          <w:rFonts w:ascii="Arial" w:hAnsi="Arial"/>
          <w:sz w:val="24"/>
        </w:rPr>
      </w:pPr>
    </w:p>
    <w:p w:rsidR="00B37CBF" w:rsidRDefault="00B37CBF" w:rsidP="00B37CBF">
      <w:pPr>
        <w:ind w:firstLine="708"/>
        <w:jc w:val="both"/>
        <w:rPr>
          <w:rFonts w:ascii="Arial" w:hAnsi="Arial"/>
          <w:sz w:val="24"/>
        </w:rPr>
      </w:pPr>
      <w:r>
        <w:rPr>
          <w:rFonts w:ascii="Arial" w:hAnsi="Arial"/>
          <w:b/>
          <w:sz w:val="24"/>
        </w:rPr>
        <w:t>CONSIDERANDO:</w:t>
      </w:r>
      <w:r>
        <w:rPr>
          <w:rFonts w:ascii="Arial" w:hAnsi="Arial"/>
          <w:sz w:val="24"/>
        </w:rPr>
        <w:t xml:space="preserve"> </w:t>
      </w:r>
    </w:p>
    <w:p w:rsidR="00B37CBF" w:rsidRDefault="00B37CBF" w:rsidP="00B37CBF">
      <w:pPr>
        <w:ind w:firstLine="708"/>
        <w:jc w:val="both"/>
        <w:rPr>
          <w:rFonts w:ascii="Arial" w:hAnsi="Arial"/>
          <w:sz w:val="24"/>
        </w:rPr>
      </w:pPr>
      <w:r>
        <w:rPr>
          <w:rFonts w:ascii="Arial" w:hAnsi="Arial"/>
          <w:sz w:val="24"/>
        </w:rPr>
        <w:t xml:space="preserve">Que este Departamento Ejecutivo ha sido notificado de la misma, en fecha 18 de abril del año 2018, entiende pertinente proceder a su promulgación. </w:t>
      </w:r>
    </w:p>
    <w:p w:rsidR="00B37CBF" w:rsidRDefault="00B37CBF" w:rsidP="00B37CBF">
      <w:pPr>
        <w:pStyle w:val="Sangra2detindependiente"/>
        <w:rPr>
          <w:rFonts w:ascii="Arial" w:hAnsi="Arial"/>
          <w:sz w:val="24"/>
        </w:rPr>
      </w:pPr>
      <w:r>
        <w:rPr>
          <w:rFonts w:ascii="Arial" w:hAnsi="Arial"/>
        </w:rPr>
        <w:t xml:space="preserve">Por ello, y en uso de las atribuciones expresamente conferidas por el artículo 107° de </w:t>
      </w:r>
      <w:smartTag w:uri="urn:schemas-microsoft-com:office:smarttags" w:element="PersonName">
        <w:smartTagPr>
          <w:attr w:name="ProductID" w:val="la Ley N"/>
        </w:smartTagPr>
        <w:smartTag w:uri="urn:schemas-microsoft-com:office:smarttags" w:element="PersonName">
          <w:smartTagPr>
            <w:attr w:name="ProductID" w:val="la Ley"/>
          </w:smartTagPr>
          <w:r>
            <w:rPr>
              <w:rFonts w:ascii="Arial" w:hAnsi="Arial"/>
            </w:rPr>
            <w:t>la Ley</w:t>
          </w:r>
        </w:smartTag>
        <w:r>
          <w:rPr>
            <w:rFonts w:ascii="Arial" w:hAnsi="Arial"/>
          </w:rPr>
          <w:t xml:space="preserve"> N</w:t>
        </w:r>
      </w:smartTag>
      <w:r>
        <w:rPr>
          <w:rFonts w:ascii="Arial" w:hAnsi="Arial"/>
        </w:rPr>
        <w:t>º 10.027,</w:t>
      </w:r>
    </w:p>
    <w:p w:rsidR="00B37CBF" w:rsidRDefault="00B37CBF" w:rsidP="00B37CBF">
      <w:pPr>
        <w:jc w:val="both"/>
        <w:rPr>
          <w:rFonts w:ascii="Arial" w:hAnsi="Arial"/>
          <w:sz w:val="16"/>
          <w:lang w:val="es-MX"/>
        </w:rPr>
      </w:pPr>
    </w:p>
    <w:p w:rsidR="00B37CBF" w:rsidRDefault="00B37CBF" w:rsidP="00B37CBF">
      <w:pPr>
        <w:jc w:val="center"/>
        <w:rPr>
          <w:rFonts w:ascii="Arial" w:hAnsi="Arial"/>
          <w:sz w:val="24"/>
          <w:lang w:val="es-MX"/>
        </w:rPr>
      </w:pPr>
      <w:r>
        <w:rPr>
          <w:rFonts w:ascii="Arial" w:hAnsi="Arial"/>
          <w:sz w:val="24"/>
          <w:lang w:val="es-MX"/>
        </w:rPr>
        <w:t xml:space="preserve">EL PRESIDENTE DE </w:t>
      </w:r>
      <w:smartTag w:uri="urn:schemas-microsoft-com:office:smarttags" w:element="PersonName">
        <w:smartTagPr>
          <w:attr w:name="ProductID" w:val="LA MUNICIPALIDAD DE"/>
        </w:smartTagPr>
        <w:r>
          <w:rPr>
            <w:rFonts w:ascii="Arial" w:hAnsi="Arial"/>
            <w:sz w:val="24"/>
            <w:lang w:val="es-MX"/>
          </w:rPr>
          <w:t>LA MUNICIPALIDAD DE</w:t>
        </w:r>
      </w:smartTag>
      <w:r>
        <w:rPr>
          <w:rFonts w:ascii="Arial" w:hAnsi="Arial"/>
          <w:sz w:val="24"/>
          <w:lang w:val="es-MX"/>
        </w:rPr>
        <w:t xml:space="preserve"> SAN JOSÉ DE GUALEGUAYCHÚ</w:t>
      </w:r>
    </w:p>
    <w:p w:rsidR="00B37CBF" w:rsidRDefault="00B37CBF" w:rsidP="00B37CBF">
      <w:pPr>
        <w:jc w:val="both"/>
        <w:rPr>
          <w:rFonts w:ascii="Arial" w:hAnsi="Arial"/>
          <w:sz w:val="16"/>
          <w:u w:val="single"/>
          <w:lang w:val="es-MX"/>
        </w:rPr>
      </w:pPr>
    </w:p>
    <w:p w:rsidR="00B37CBF" w:rsidRDefault="00B37CBF" w:rsidP="00B37CBF">
      <w:pPr>
        <w:jc w:val="center"/>
        <w:rPr>
          <w:rFonts w:ascii="Arial" w:hAnsi="Arial"/>
          <w:sz w:val="24"/>
          <w:u w:val="single"/>
          <w:lang w:val="es-MX"/>
        </w:rPr>
      </w:pPr>
      <w:r>
        <w:rPr>
          <w:rFonts w:ascii="Arial" w:hAnsi="Arial"/>
          <w:sz w:val="24"/>
          <w:u w:val="single"/>
          <w:lang w:val="es-MX"/>
        </w:rPr>
        <w:t>DECRETA:</w:t>
      </w:r>
    </w:p>
    <w:p w:rsidR="00B37CBF" w:rsidRDefault="00B37CBF" w:rsidP="00B37CBF">
      <w:pPr>
        <w:jc w:val="both"/>
        <w:rPr>
          <w:rFonts w:ascii="Arial" w:hAnsi="Arial"/>
          <w:sz w:val="24"/>
        </w:rPr>
      </w:pPr>
      <w:r>
        <w:rPr>
          <w:rFonts w:ascii="Arial" w:hAnsi="Arial"/>
          <w:b/>
          <w:sz w:val="24"/>
        </w:rPr>
        <w:t>ARTÍCULO 1º.-</w:t>
      </w:r>
      <w:r>
        <w:rPr>
          <w:rFonts w:ascii="Arial" w:hAnsi="Arial"/>
          <w:sz w:val="24"/>
        </w:rPr>
        <w:t xml:space="preserve"> </w:t>
      </w:r>
      <w:r>
        <w:rPr>
          <w:rFonts w:ascii="Arial" w:hAnsi="Arial"/>
          <w:caps/>
          <w:sz w:val="24"/>
          <w:szCs w:val="24"/>
        </w:rPr>
        <w:t>Promúlgase</w:t>
      </w:r>
      <w:r>
        <w:rPr>
          <w:rFonts w:ascii="Arial" w:hAnsi="Arial"/>
          <w:sz w:val="24"/>
        </w:rPr>
        <w:t xml:space="preserve"> </w:t>
      </w:r>
      <w:smartTag w:uri="urn:schemas-microsoft-com:office:smarttags" w:element="PersonName">
        <w:smartTagPr>
          <w:attr w:name="ProductID" w:val="la Ordenanza N"/>
        </w:smartTagPr>
        <w:r>
          <w:rPr>
            <w:rFonts w:ascii="Arial" w:hAnsi="Arial"/>
            <w:sz w:val="24"/>
          </w:rPr>
          <w:t>la Ordenanza N</w:t>
        </w:r>
      </w:smartTag>
      <w:r>
        <w:rPr>
          <w:rFonts w:ascii="Arial" w:hAnsi="Arial"/>
          <w:sz w:val="24"/>
        </w:rPr>
        <w:t xml:space="preserve">º 12.216/2018, sancionada en fecha 16 de abril del año 2018, por el Honorable Concejo Deliberante. </w:t>
      </w:r>
    </w:p>
    <w:p w:rsidR="00B37CBF" w:rsidRDefault="00B37CBF" w:rsidP="00B37CBF">
      <w:pPr>
        <w:jc w:val="both"/>
        <w:rPr>
          <w:rFonts w:ascii="Arial" w:hAnsi="Arial"/>
          <w:sz w:val="24"/>
        </w:rPr>
      </w:pPr>
      <w:r>
        <w:rPr>
          <w:rFonts w:ascii="Arial" w:hAnsi="Arial"/>
          <w:b/>
          <w:sz w:val="24"/>
        </w:rPr>
        <w:t>ARTÍCULO 2º.-</w:t>
      </w:r>
      <w:r>
        <w:rPr>
          <w:rFonts w:ascii="Arial" w:hAnsi="Arial"/>
          <w:sz w:val="24"/>
        </w:rPr>
        <w:t xml:space="preserve"> Comuníquese, notifíquese, publíquese y cumplido, archívese.</w:t>
      </w:r>
    </w:p>
    <w:p w:rsidR="00B37CBF" w:rsidRDefault="00B37CBF" w:rsidP="00B37CBF">
      <w:pPr>
        <w:rPr>
          <w:rFonts w:ascii="Casablanca" w:hAnsi="Casablanca"/>
          <w:b/>
          <w:i/>
          <w:sz w:val="24"/>
          <w:szCs w:val="24"/>
          <w:lang w:eastAsia="es-ES"/>
        </w:rPr>
      </w:pPr>
    </w:p>
    <w:p w:rsidR="00B37CBF" w:rsidRDefault="00B37CBF" w:rsidP="00B37CBF">
      <w:pPr>
        <w:rPr>
          <w:rFonts w:ascii="Casablanca" w:hAnsi="Casablanca"/>
          <w:b/>
          <w:i/>
          <w:sz w:val="24"/>
          <w:szCs w:val="24"/>
          <w:lang w:eastAsia="es-ES"/>
        </w:rPr>
      </w:pPr>
    </w:p>
    <w:p w:rsidR="00B37CBF" w:rsidRPr="00B37CBF" w:rsidRDefault="00B37CBF" w:rsidP="00B37CBF">
      <w:pPr>
        <w:ind w:firstLine="708"/>
        <w:jc w:val="both"/>
        <w:rPr>
          <w:rFonts w:ascii="Arial" w:hAnsi="Arial"/>
          <w:sz w:val="20"/>
          <w:szCs w:val="20"/>
          <w:lang w:eastAsia="es-ES_tradnl"/>
        </w:rPr>
      </w:pPr>
      <w:r w:rsidRPr="00B37CBF">
        <w:rPr>
          <w:rFonts w:ascii="Casablanca" w:hAnsi="Casablanca"/>
          <w:b/>
          <w:i/>
          <w:sz w:val="20"/>
          <w:szCs w:val="20"/>
        </w:rPr>
        <w:t>IGNACIO JOSÉ FARFÁN</w:t>
      </w:r>
      <w:r w:rsidRPr="00B37CBF">
        <w:rPr>
          <w:rFonts w:ascii="Casablanca" w:hAnsi="Casablanca"/>
          <w:b/>
          <w:i/>
          <w:sz w:val="20"/>
          <w:szCs w:val="20"/>
        </w:rPr>
        <w:tab/>
      </w:r>
      <w:r w:rsidRPr="00B37CBF">
        <w:rPr>
          <w:rFonts w:ascii="Casablanca" w:hAnsi="Casablanca"/>
          <w:b/>
          <w:i/>
          <w:sz w:val="20"/>
          <w:szCs w:val="20"/>
        </w:rPr>
        <w:tab/>
      </w:r>
      <w:r w:rsidRPr="00B37CBF">
        <w:rPr>
          <w:rFonts w:ascii="Casablanca" w:hAnsi="Casablanca"/>
          <w:b/>
          <w:i/>
          <w:sz w:val="20"/>
          <w:szCs w:val="20"/>
        </w:rPr>
        <w:tab/>
      </w:r>
      <w:r w:rsidRPr="00B37CBF">
        <w:rPr>
          <w:rFonts w:ascii="Casablanca" w:hAnsi="Casablanca"/>
          <w:b/>
          <w:i/>
          <w:sz w:val="20"/>
          <w:szCs w:val="20"/>
        </w:rPr>
        <w:tab/>
        <w:t>ESTEBAN MARTÍN PIAGGIO</w:t>
      </w:r>
    </w:p>
    <w:p w:rsidR="00B37CBF" w:rsidRPr="00B37CBF" w:rsidRDefault="00B37CBF" w:rsidP="00B37CBF">
      <w:pPr>
        <w:rPr>
          <w:rFonts w:ascii="Casablanca" w:hAnsi="Casablanca"/>
          <w:b/>
          <w:i/>
          <w:sz w:val="20"/>
          <w:szCs w:val="20"/>
        </w:rPr>
      </w:pPr>
      <w:r w:rsidRPr="00B37CBF">
        <w:rPr>
          <w:rFonts w:ascii="Casablanca" w:hAnsi="Casablanca"/>
          <w:b/>
          <w:i/>
          <w:sz w:val="20"/>
          <w:szCs w:val="20"/>
        </w:rPr>
        <w:t xml:space="preserve">           </w:t>
      </w:r>
      <w:r w:rsidRPr="00B37CBF">
        <w:rPr>
          <w:rFonts w:ascii="Casablanca" w:hAnsi="Casablanca"/>
          <w:b/>
          <w:i/>
          <w:sz w:val="20"/>
          <w:szCs w:val="20"/>
        </w:rPr>
        <w:tab/>
        <w:t xml:space="preserve">    Secretario de Gobierno</w:t>
      </w:r>
      <w:r w:rsidRPr="00B37CBF">
        <w:rPr>
          <w:rFonts w:ascii="Casablanca" w:hAnsi="Casablanca"/>
          <w:b/>
          <w:i/>
          <w:sz w:val="20"/>
          <w:szCs w:val="20"/>
        </w:rPr>
        <w:tab/>
      </w:r>
      <w:r w:rsidRPr="00B37CBF">
        <w:rPr>
          <w:rFonts w:ascii="Casablanca" w:hAnsi="Casablanca"/>
          <w:b/>
          <w:i/>
          <w:sz w:val="20"/>
          <w:szCs w:val="20"/>
        </w:rPr>
        <w:tab/>
      </w:r>
      <w:r w:rsidRPr="00B37CBF">
        <w:rPr>
          <w:rFonts w:ascii="Casablanca" w:hAnsi="Casablanca"/>
          <w:b/>
          <w:i/>
          <w:sz w:val="20"/>
          <w:szCs w:val="20"/>
        </w:rPr>
        <w:tab/>
      </w:r>
      <w:r w:rsidRPr="00B37CBF">
        <w:rPr>
          <w:rFonts w:ascii="Casablanca" w:hAnsi="Casablanca"/>
          <w:b/>
          <w:i/>
          <w:sz w:val="20"/>
          <w:szCs w:val="20"/>
        </w:rPr>
        <w:tab/>
        <w:t xml:space="preserve">        Presidente Municipal</w:t>
      </w:r>
    </w:p>
    <w:p w:rsidR="00B37CBF" w:rsidRDefault="00B37CBF" w:rsidP="00B37CBF">
      <w:pPr>
        <w:rPr>
          <w:rFonts w:ascii="Arial" w:hAnsi="Arial"/>
          <w:sz w:val="24"/>
          <w:szCs w:val="24"/>
        </w:rPr>
      </w:pPr>
    </w:p>
    <w:p w:rsidR="00B37CBF" w:rsidRDefault="00B37CBF" w:rsidP="00B37CBF">
      <w:pPr>
        <w:pStyle w:val="Ttulo8"/>
        <w:rPr>
          <w:rFonts w:ascii="Arial" w:hAnsi="Arial"/>
          <w:sz w:val="24"/>
          <w:szCs w:val="24"/>
        </w:rPr>
      </w:pPr>
    </w:p>
    <w:p w:rsidR="00B37CBF" w:rsidRDefault="00B37CBF" w:rsidP="00B37CBF">
      <w:pPr>
        <w:rPr>
          <w:rFonts w:ascii="Arial" w:hAnsi="Arial"/>
          <w:sz w:val="24"/>
          <w:szCs w:val="24"/>
        </w:rPr>
      </w:pPr>
    </w:p>
    <w:p w:rsidR="00B37CBF" w:rsidRDefault="00B37CBF" w:rsidP="00B37CBF">
      <w:pPr>
        <w:rPr>
          <w:rFonts w:ascii="Casablanca" w:hAnsi="Casablanca"/>
          <w:b/>
          <w:i/>
          <w:sz w:val="24"/>
          <w:szCs w:val="24"/>
          <w:lang w:eastAsia="es-ES"/>
        </w:rPr>
      </w:pPr>
    </w:p>
    <w:p w:rsidR="00B37CBF" w:rsidRPr="00482B94" w:rsidRDefault="00B37CBF" w:rsidP="00482B94">
      <w:pPr>
        <w:spacing w:before="240" w:line="360" w:lineRule="auto"/>
        <w:jc w:val="both"/>
        <w:rPr>
          <w:rFonts w:ascii="Bookman Old Style" w:hAnsi="Bookman Old Style"/>
          <w:sz w:val="24"/>
          <w:szCs w:val="24"/>
        </w:rPr>
      </w:pPr>
    </w:p>
    <w:sectPr w:rsidR="00B37CBF" w:rsidRPr="00482B94" w:rsidSect="005F1615">
      <w:headerReference w:type="even" r:id="rId10"/>
      <w:headerReference w:type="default" r:id="rId11"/>
      <w:footerReference w:type="even" r:id="rId12"/>
      <w:footerReference w:type="default" r:id="rId13"/>
      <w:headerReference w:type="first" r:id="rId14"/>
      <w:footerReference w:type="first" r:id="rId15"/>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367" w:rsidRDefault="003B1367">
      <w:r>
        <w:separator/>
      </w:r>
    </w:p>
  </w:endnote>
  <w:endnote w:type="continuationSeparator" w:id="0">
    <w:p w:rsidR="003B1367" w:rsidRDefault="003B1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sablanca">
    <w:altName w:val="Times New Roman"/>
    <w:charset w:val="00"/>
    <w:family w:val="auto"/>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E648E6" w:rsidP="00B907E6">
    <w:pPr>
      <w:pStyle w:val="Piedepgina"/>
      <w:pBdr>
        <w:bottom w:val="single" w:sz="6" w:space="1" w:color="auto"/>
      </w:pBdr>
      <w:rPr>
        <w:rFonts w:ascii="Bookman Old Style" w:hAnsi="Bookman Old Style"/>
        <w:color w:val="404040"/>
        <w:sz w:val="20"/>
        <w:szCs w:val="20"/>
      </w:rPr>
    </w:pPr>
  </w:p>
  <w:p w:rsidR="00E648E6" w:rsidRPr="003232A9" w:rsidRDefault="00E648E6" w:rsidP="0067753F">
    <w:pPr>
      <w:pStyle w:val="Piedepgina"/>
      <w:jc w:val="right"/>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sidR="00807B53">
      <w:rPr>
        <w:rFonts w:ascii="Bookman Old Style" w:hAnsi="Bookman Old Style"/>
        <w:b/>
        <w:noProof/>
        <w:color w:val="404040"/>
        <w:sz w:val="20"/>
        <w:szCs w:val="20"/>
      </w:rPr>
      <w:t>8</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807B53">
      <w:rPr>
        <w:rFonts w:ascii="Bookman Old Style" w:hAnsi="Bookman Old Style"/>
        <w:b/>
        <w:noProof/>
        <w:color w:val="404040"/>
        <w:sz w:val="20"/>
        <w:szCs w:val="20"/>
      </w:rPr>
      <w:t>13</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Piedepgina"/>
      <w:pBdr>
        <w:bottom w:val="single" w:sz="6" w:space="1" w:color="auto"/>
      </w:pBdr>
    </w:pPr>
  </w:p>
  <w:p w:rsidR="00E648E6"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0801E9">
      <w:rPr>
        <w:rFonts w:ascii="Bookman Old Style" w:hAnsi="Bookman Old Style"/>
        <w:b/>
        <w:noProof/>
        <w:sz w:val="20"/>
        <w:szCs w:val="20"/>
      </w:rPr>
      <w:t>9</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0801E9">
      <w:rPr>
        <w:rFonts w:ascii="Bookman Old Style" w:hAnsi="Bookman Old Style"/>
        <w:b/>
        <w:noProof/>
        <w:sz w:val="20"/>
        <w:szCs w:val="20"/>
      </w:rPr>
      <w:t>13</w:t>
    </w:r>
    <w:r w:rsidRPr="00A71F25">
      <w:rPr>
        <w:rFonts w:ascii="Bookman Old Style" w:hAnsi="Bookman Old Style"/>
        <w:b/>
        <w:sz w:val="20"/>
        <w:szCs w:val="20"/>
      </w:rPr>
      <w:fldChar w:fldCharType="end"/>
    </w:r>
  </w:p>
  <w:p w:rsidR="00E648E6" w:rsidRPr="00C261A7" w:rsidRDefault="00E648E6"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A71F25" w:rsidRDefault="00E648E6" w:rsidP="00B907E6">
    <w:pPr>
      <w:pStyle w:val="Piedepgina"/>
      <w:pBdr>
        <w:bottom w:val="single" w:sz="6" w:space="1" w:color="auto"/>
      </w:pBdr>
      <w:jc w:val="right"/>
    </w:pPr>
  </w:p>
  <w:p w:rsidR="00E648E6" w:rsidRPr="00A71F25"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807B53">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807B53">
      <w:rPr>
        <w:rFonts w:ascii="Bookman Old Style" w:hAnsi="Bookman Old Style"/>
        <w:b/>
        <w:noProof/>
        <w:sz w:val="20"/>
        <w:szCs w:val="20"/>
      </w:rPr>
      <w:t>13</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367" w:rsidRDefault="003B1367">
      <w:r>
        <w:separator/>
      </w:r>
    </w:p>
  </w:footnote>
  <w:footnote w:type="continuationSeparator" w:id="0">
    <w:p w:rsidR="003B1367" w:rsidRDefault="003B1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482B94" w:rsidRDefault="00482B94" w:rsidP="00482B94">
    <w:pPr>
      <w:pStyle w:val="Encabezado"/>
      <w:pBdr>
        <w:bottom w:val="single" w:sz="6" w:space="0" w:color="auto"/>
      </w:pBdr>
      <w:jc w:val="right"/>
      <w:rPr>
        <w:rFonts w:ascii="Bookman Old Style" w:hAnsi="Bookman Old Style"/>
        <w:b/>
        <w:sz w:val="20"/>
        <w:u w:val="single"/>
      </w:rPr>
    </w:pPr>
    <w:r w:rsidRPr="00482B94">
      <w:rPr>
        <w:rFonts w:ascii="Bookman Old Style" w:hAnsi="Bookman Old Style"/>
        <w:b/>
        <w:sz w:val="20"/>
        <w:u w:val="single"/>
      </w:rPr>
      <w:t>ORDENANZA Nº12.216/2018</w:t>
    </w:r>
  </w:p>
  <w:p w:rsidR="00482B94" w:rsidRDefault="00482B94"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Pr="00EA3998" w:rsidRDefault="00E648E6" w:rsidP="00B907E6">
    <w:pPr>
      <w:pStyle w:val="Encabezado"/>
      <w:pBdr>
        <w:bottom w:val="single" w:sz="6" w:space="0" w:color="auto"/>
      </w:pBdr>
      <w:rPr>
        <w:rFonts w:ascii="Bookman Old Style" w:hAnsi="Bookman Old Style"/>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B94" w:rsidRDefault="00482B94">
    <w:pPr>
      <w:pStyle w:val="Encabezado"/>
      <w:pBdr>
        <w:bottom w:val="single" w:sz="6" w:space="1" w:color="auto"/>
      </w:pBdr>
    </w:pPr>
  </w:p>
  <w:p w:rsidR="00482B94" w:rsidRDefault="00482B94">
    <w:pPr>
      <w:pStyle w:val="Encabezado"/>
      <w:pBdr>
        <w:bottom w:val="single" w:sz="6" w:space="1" w:color="auto"/>
      </w:pBdr>
    </w:pPr>
  </w:p>
  <w:p w:rsidR="00E648E6" w:rsidRPr="00A71F25" w:rsidRDefault="00E648E6" w:rsidP="00B907E6">
    <w:pPr>
      <w:pStyle w:val="Encabezado"/>
      <w:pBdr>
        <w:bottom w:val="single" w:sz="6" w:space="1" w:color="auto"/>
      </w:pBdr>
      <w:jc w:val="right"/>
      <w:rPr>
        <w:rFonts w:ascii="Bookman Old Style" w:hAnsi="Bookman Old Styl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A5" w:rsidRDefault="0067753F">
    <w:pPr>
      <w:pStyle w:val="Encabezado"/>
    </w:pPr>
    <w:r>
      <w:rPr>
        <w:noProof/>
        <w:szCs w:val="20"/>
        <w:lang w:eastAsia="es-ES"/>
      </w:rPr>
      <w:drawing>
        <wp:inline distT="0" distB="0" distL="0" distR="0" wp14:anchorId="652B144B" wp14:editId="40B66EA4">
          <wp:extent cx="5657850" cy="1066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01B2"/>
    <w:multiLevelType w:val="hybridMultilevel"/>
    <w:tmpl w:val="152A2C4E"/>
    <w:lvl w:ilvl="0" w:tplc="040A0001">
      <w:start w:val="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50187646"/>
    <w:multiLevelType w:val="hybridMultilevel"/>
    <w:tmpl w:val="AA82D40A"/>
    <w:lvl w:ilvl="0" w:tplc="256AB628">
      <w:start w:val="1"/>
      <w:numFmt w:val="decimal"/>
      <w:lvlText w:val="%1."/>
      <w:lvlJc w:val="left"/>
      <w:pPr>
        <w:ind w:left="360" w:hanging="360"/>
      </w:pPr>
    </w:lvl>
    <w:lvl w:ilvl="1" w:tplc="2C0A0019">
      <w:start w:val="1"/>
      <w:numFmt w:val="lowerLetter"/>
      <w:lvlText w:val="%2."/>
      <w:lvlJc w:val="left"/>
      <w:pPr>
        <w:ind w:left="1785" w:hanging="360"/>
      </w:pPr>
    </w:lvl>
    <w:lvl w:ilvl="2" w:tplc="2C0A001B">
      <w:start w:val="1"/>
      <w:numFmt w:val="lowerRoman"/>
      <w:lvlText w:val="%3."/>
      <w:lvlJc w:val="right"/>
      <w:pPr>
        <w:ind w:left="2505" w:hanging="180"/>
      </w:pPr>
    </w:lvl>
    <w:lvl w:ilvl="3" w:tplc="2C0A000F">
      <w:start w:val="1"/>
      <w:numFmt w:val="decimal"/>
      <w:lvlText w:val="%4."/>
      <w:lvlJc w:val="left"/>
      <w:pPr>
        <w:ind w:left="3225" w:hanging="360"/>
      </w:pPr>
    </w:lvl>
    <w:lvl w:ilvl="4" w:tplc="2C0A0019">
      <w:start w:val="1"/>
      <w:numFmt w:val="lowerLetter"/>
      <w:lvlText w:val="%5."/>
      <w:lvlJc w:val="left"/>
      <w:pPr>
        <w:ind w:left="3945" w:hanging="360"/>
      </w:pPr>
    </w:lvl>
    <w:lvl w:ilvl="5" w:tplc="2C0A001B">
      <w:start w:val="1"/>
      <w:numFmt w:val="lowerRoman"/>
      <w:lvlText w:val="%6."/>
      <w:lvlJc w:val="right"/>
      <w:pPr>
        <w:ind w:left="4665" w:hanging="180"/>
      </w:pPr>
    </w:lvl>
    <w:lvl w:ilvl="6" w:tplc="2C0A000F">
      <w:start w:val="1"/>
      <w:numFmt w:val="decimal"/>
      <w:lvlText w:val="%7."/>
      <w:lvlJc w:val="left"/>
      <w:pPr>
        <w:ind w:left="5385" w:hanging="360"/>
      </w:pPr>
    </w:lvl>
    <w:lvl w:ilvl="7" w:tplc="2C0A0019">
      <w:start w:val="1"/>
      <w:numFmt w:val="lowerLetter"/>
      <w:lvlText w:val="%8."/>
      <w:lvlJc w:val="left"/>
      <w:pPr>
        <w:ind w:left="6105" w:hanging="360"/>
      </w:pPr>
    </w:lvl>
    <w:lvl w:ilvl="8" w:tplc="2C0A001B">
      <w:start w:val="1"/>
      <w:numFmt w:val="lowerRoman"/>
      <w:lvlText w:val="%9."/>
      <w:lvlJc w:val="right"/>
      <w:pPr>
        <w:ind w:left="68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6"/>
    <w:rsid w:val="00002248"/>
    <w:rsid w:val="0000270A"/>
    <w:rsid w:val="000130E1"/>
    <w:rsid w:val="00013285"/>
    <w:rsid w:val="00016BB2"/>
    <w:rsid w:val="000237D7"/>
    <w:rsid w:val="00042A7A"/>
    <w:rsid w:val="00045DBA"/>
    <w:rsid w:val="00055547"/>
    <w:rsid w:val="000639A9"/>
    <w:rsid w:val="000801E9"/>
    <w:rsid w:val="00096606"/>
    <w:rsid w:val="000A27D0"/>
    <w:rsid w:val="000B1600"/>
    <w:rsid w:val="000D4DAC"/>
    <w:rsid w:val="000D5BBD"/>
    <w:rsid w:val="000E5CA0"/>
    <w:rsid w:val="000F54B1"/>
    <w:rsid w:val="00104463"/>
    <w:rsid w:val="0011162C"/>
    <w:rsid w:val="00123695"/>
    <w:rsid w:val="001400AF"/>
    <w:rsid w:val="00163802"/>
    <w:rsid w:val="00176DDE"/>
    <w:rsid w:val="00185BC3"/>
    <w:rsid w:val="001878FD"/>
    <w:rsid w:val="001B33ED"/>
    <w:rsid w:val="001B6D27"/>
    <w:rsid w:val="001D6B4F"/>
    <w:rsid w:val="001F6399"/>
    <w:rsid w:val="002044FF"/>
    <w:rsid w:val="00216F22"/>
    <w:rsid w:val="00223D15"/>
    <w:rsid w:val="00230738"/>
    <w:rsid w:val="002342C4"/>
    <w:rsid w:val="00266150"/>
    <w:rsid w:val="002675F9"/>
    <w:rsid w:val="0027076A"/>
    <w:rsid w:val="00287897"/>
    <w:rsid w:val="002975F8"/>
    <w:rsid w:val="002A0C66"/>
    <w:rsid w:val="002B51AF"/>
    <w:rsid w:val="002C7D73"/>
    <w:rsid w:val="002E4275"/>
    <w:rsid w:val="0030719C"/>
    <w:rsid w:val="0032144C"/>
    <w:rsid w:val="00322C95"/>
    <w:rsid w:val="00325348"/>
    <w:rsid w:val="00336864"/>
    <w:rsid w:val="00336DC8"/>
    <w:rsid w:val="00341AB4"/>
    <w:rsid w:val="0034547D"/>
    <w:rsid w:val="00357E64"/>
    <w:rsid w:val="00361BFC"/>
    <w:rsid w:val="0037069F"/>
    <w:rsid w:val="00386337"/>
    <w:rsid w:val="00390004"/>
    <w:rsid w:val="00396E49"/>
    <w:rsid w:val="003B1367"/>
    <w:rsid w:val="003C6375"/>
    <w:rsid w:val="003D3A10"/>
    <w:rsid w:val="003E10ED"/>
    <w:rsid w:val="00405602"/>
    <w:rsid w:val="00406694"/>
    <w:rsid w:val="004100DE"/>
    <w:rsid w:val="00410667"/>
    <w:rsid w:val="00413325"/>
    <w:rsid w:val="00455C31"/>
    <w:rsid w:val="004705F5"/>
    <w:rsid w:val="004826DF"/>
    <w:rsid w:val="00482B94"/>
    <w:rsid w:val="004C1A5E"/>
    <w:rsid w:val="004C69D5"/>
    <w:rsid w:val="004C6F2A"/>
    <w:rsid w:val="004D05BB"/>
    <w:rsid w:val="004D1D25"/>
    <w:rsid w:val="004D3182"/>
    <w:rsid w:val="004D3656"/>
    <w:rsid w:val="004E20C8"/>
    <w:rsid w:val="004E6870"/>
    <w:rsid w:val="004E7F6E"/>
    <w:rsid w:val="005009B9"/>
    <w:rsid w:val="0051305E"/>
    <w:rsid w:val="005146DE"/>
    <w:rsid w:val="00514F9D"/>
    <w:rsid w:val="00530669"/>
    <w:rsid w:val="0056796B"/>
    <w:rsid w:val="00582752"/>
    <w:rsid w:val="00591D5C"/>
    <w:rsid w:val="005A43B3"/>
    <w:rsid w:val="005C4D8B"/>
    <w:rsid w:val="005E7D7F"/>
    <w:rsid w:val="005F1615"/>
    <w:rsid w:val="006137CA"/>
    <w:rsid w:val="0062026A"/>
    <w:rsid w:val="0064149F"/>
    <w:rsid w:val="0064382B"/>
    <w:rsid w:val="00647B6F"/>
    <w:rsid w:val="00661946"/>
    <w:rsid w:val="0067753F"/>
    <w:rsid w:val="00677FBA"/>
    <w:rsid w:val="00697FBF"/>
    <w:rsid w:val="006A14AC"/>
    <w:rsid w:val="006A4D97"/>
    <w:rsid w:val="006C3985"/>
    <w:rsid w:val="006C6F6F"/>
    <w:rsid w:val="006D6A5D"/>
    <w:rsid w:val="006E1EF7"/>
    <w:rsid w:val="006F021A"/>
    <w:rsid w:val="006F0F2C"/>
    <w:rsid w:val="006F3E0A"/>
    <w:rsid w:val="006F56BB"/>
    <w:rsid w:val="0070153F"/>
    <w:rsid w:val="00723EF1"/>
    <w:rsid w:val="00724C18"/>
    <w:rsid w:val="007347EA"/>
    <w:rsid w:val="00747717"/>
    <w:rsid w:val="00775E59"/>
    <w:rsid w:val="00795BEA"/>
    <w:rsid w:val="007D1861"/>
    <w:rsid w:val="007F7084"/>
    <w:rsid w:val="00803E6B"/>
    <w:rsid w:val="0080415E"/>
    <w:rsid w:val="00807B53"/>
    <w:rsid w:val="008243CE"/>
    <w:rsid w:val="0082570B"/>
    <w:rsid w:val="00827849"/>
    <w:rsid w:val="00843907"/>
    <w:rsid w:val="0087418B"/>
    <w:rsid w:val="008A3D7B"/>
    <w:rsid w:val="008A4746"/>
    <w:rsid w:val="008C1591"/>
    <w:rsid w:val="008D6160"/>
    <w:rsid w:val="008D66F2"/>
    <w:rsid w:val="00902276"/>
    <w:rsid w:val="009023D7"/>
    <w:rsid w:val="00904C00"/>
    <w:rsid w:val="0092001B"/>
    <w:rsid w:val="00920411"/>
    <w:rsid w:val="00955EAD"/>
    <w:rsid w:val="009577BD"/>
    <w:rsid w:val="00970330"/>
    <w:rsid w:val="00971181"/>
    <w:rsid w:val="009865A9"/>
    <w:rsid w:val="0099496C"/>
    <w:rsid w:val="00994AB0"/>
    <w:rsid w:val="009B7091"/>
    <w:rsid w:val="009F5121"/>
    <w:rsid w:val="00A014DB"/>
    <w:rsid w:val="00A02BC8"/>
    <w:rsid w:val="00A15385"/>
    <w:rsid w:val="00A155BA"/>
    <w:rsid w:val="00A34AC8"/>
    <w:rsid w:val="00A53A10"/>
    <w:rsid w:val="00A55A98"/>
    <w:rsid w:val="00A6059C"/>
    <w:rsid w:val="00A6468C"/>
    <w:rsid w:val="00A7439D"/>
    <w:rsid w:val="00AA7499"/>
    <w:rsid w:val="00AD1502"/>
    <w:rsid w:val="00AE2D6B"/>
    <w:rsid w:val="00AE66F7"/>
    <w:rsid w:val="00B06B8E"/>
    <w:rsid w:val="00B14AD4"/>
    <w:rsid w:val="00B227E1"/>
    <w:rsid w:val="00B26460"/>
    <w:rsid w:val="00B37CBF"/>
    <w:rsid w:val="00B46116"/>
    <w:rsid w:val="00B6305A"/>
    <w:rsid w:val="00B7387D"/>
    <w:rsid w:val="00B81748"/>
    <w:rsid w:val="00B907E6"/>
    <w:rsid w:val="00B93400"/>
    <w:rsid w:val="00B94FC9"/>
    <w:rsid w:val="00B95136"/>
    <w:rsid w:val="00BA15B8"/>
    <w:rsid w:val="00BA4908"/>
    <w:rsid w:val="00BA51A4"/>
    <w:rsid w:val="00BD42AF"/>
    <w:rsid w:val="00C01CF6"/>
    <w:rsid w:val="00C1510E"/>
    <w:rsid w:val="00C2271E"/>
    <w:rsid w:val="00C27213"/>
    <w:rsid w:val="00C274E0"/>
    <w:rsid w:val="00C40194"/>
    <w:rsid w:val="00C7615C"/>
    <w:rsid w:val="00C82A5B"/>
    <w:rsid w:val="00C976B1"/>
    <w:rsid w:val="00CA396C"/>
    <w:rsid w:val="00CD2538"/>
    <w:rsid w:val="00CE6F03"/>
    <w:rsid w:val="00CF370B"/>
    <w:rsid w:val="00CF3D77"/>
    <w:rsid w:val="00D01638"/>
    <w:rsid w:val="00D16A6A"/>
    <w:rsid w:val="00D21312"/>
    <w:rsid w:val="00D26988"/>
    <w:rsid w:val="00D43085"/>
    <w:rsid w:val="00D45D99"/>
    <w:rsid w:val="00D51934"/>
    <w:rsid w:val="00D55D7B"/>
    <w:rsid w:val="00D67928"/>
    <w:rsid w:val="00D73A07"/>
    <w:rsid w:val="00D764A5"/>
    <w:rsid w:val="00D87491"/>
    <w:rsid w:val="00D918AC"/>
    <w:rsid w:val="00DA51CB"/>
    <w:rsid w:val="00DB0758"/>
    <w:rsid w:val="00DB0AAA"/>
    <w:rsid w:val="00DB0EAF"/>
    <w:rsid w:val="00DB7BD0"/>
    <w:rsid w:val="00DC77A4"/>
    <w:rsid w:val="00DC77AE"/>
    <w:rsid w:val="00DE6AEC"/>
    <w:rsid w:val="00DF1FDA"/>
    <w:rsid w:val="00E22777"/>
    <w:rsid w:val="00E30D22"/>
    <w:rsid w:val="00E320F6"/>
    <w:rsid w:val="00E42C27"/>
    <w:rsid w:val="00E474AF"/>
    <w:rsid w:val="00E648E6"/>
    <w:rsid w:val="00E70442"/>
    <w:rsid w:val="00E74402"/>
    <w:rsid w:val="00E92AAB"/>
    <w:rsid w:val="00EB2FC4"/>
    <w:rsid w:val="00EB57A3"/>
    <w:rsid w:val="00EB7BBE"/>
    <w:rsid w:val="00ED13CD"/>
    <w:rsid w:val="00EF002F"/>
    <w:rsid w:val="00EF06A2"/>
    <w:rsid w:val="00F01E7A"/>
    <w:rsid w:val="00F03A4D"/>
    <w:rsid w:val="00F03EEB"/>
    <w:rsid w:val="00F06478"/>
    <w:rsid w:val="00F22CAB"/>
    <w:rsid w:val="00F37DCA"/>
    <w:rsid w:val="00F94692"/>
    <w:rsid w:val="00FA023E"/>
    <w:rsid w:val="00FA6E29"/>
    <w:rsid w:val="00FB6459"/>
    <w:rsid w:val="00FC4864"/>
    <w:rsid w:val="00FC5549"/>
    <w:rsid w:val="00FD7FBE"/>
    <w:rsid w:val="00FE0294"/>
    <w:rsid w:val="00FE66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paragraph" w:styleId="Ttulo3">
    <w:name w:val="heading 3"/>
    <w:basedOn w:val="Normal"/>
    <w:next w:val="Normal"/>
    <w:link w:val="Ttulo3Car"/>
    <w:semiHidden/>
    <w:unhideWhenUsed/>
    <w:qFormat/>
    <w:rsid w:val="00B37C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B37CB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8">
    <w:name w:val="heading 8"/>
    <w:basedOn w:val="Normal"/>
    <w:next w:val="Normal"/>
    <w:link w:val="Ttulo8Car"/>
    <w:semiHidden/>
    <w:unhideWhenUsed/>
    <w:qFormat/>
    <w:rsid w:val="00B37CB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 w:type="character" w:customStyle="1" w:styleId="Ttulo3Car">
    <w:name w:val="Título 3 Car"/>
    <w:basedOn w:val="Fuentedeprrafopredeter"/>
    <w:link w:val="Ttulo3"/>
    <w:semiHidden/>
    <w:rsid w:val="00B37CBF"/>
    <w:rPr>
      <w:rFonts w:asciiTheme="majorHAnsi" w:eastAsiaTheme="majorEastAsia" w:hAnsiTheme="majorHAnsi" w:cstheme="majorBidi"/>
      <w:b/>
      <w:bCs/>
      <w:color w:val="4F81BD" w:themeColor="accent1"/>
      <w:sz w:val="22"/>
      <w:szCs w:val="22"/>
      <w:lang w:eastAsia="en-US"/>
    </w:rPr>
  </w:style>
  <w:style w:type="character" w:customStyle="1" w:styleId="Ttulo4Car">
    <w:name w:val="Título 4 Car"/>
    <w:basedOn w:val="Fuentedeprrafopredeter"/>
    <w:link w:val="Ttulo4"/>
    <w:semiHidden/>
    <w:rsid w:val="00B37CBF"/>
    <w:rPr>
      <w:rFonts w:asciiTheme="majorHAnsi" w:eastAsiaTheme="majorEastAsia" w:hAnsiTheme="majorHAnsi" w:cstheme="majorBidi"/>
      <w:b/>
      <w:bCs/>
      <w:i/>
      <w:iCs/>
      <w:color w:val="4F81BD" w:themeColor="accent1"/>
      <w:sz w:val="22"/>
      <w:szCs w:val="22"/>
      <w:lang w:eastAsia="en-US"/>
    </w:rPr>
  </w:style>
  <w:style w:type="character" w:customStyle="1" w:styleId="Ttulo8Car">
    <w:name w:val="Título 8 Car"/>
    <w:basedOn w:val="Fuentedeprrafopredeter"/>
    <w:link w:val="Ttulo8"/>
    <w:semiHidden/>
    <w:rsid w:val="00B37CBF"/>
    <w:rPr>
      <w:rFonts w:asciiTheme="majorHAnsi" w:eastAsiaTheme="majorEastAsia" w:hAnsiTheme="majorHAnsi" w:cstheme="majorBidi"/>
      <w:color w:val="404040" w:themeColor="text1" w:themeTint="BF"/>
      <w:lang w:eastAsia="en-US"/>
    </w:rPr>
  </w:style>
  <w:style w:type="paragraph" w:styleId="Sangra2detindependiente">
    <w:name w:val="Body Text Indent 2"/>
    <w:basedOn w:val="Normal"/>
    <w:link w:val="Sangra2detindependienteCar"/>
    <w:rsid w:val="00B37CBF"/>
    <w:pPr>
      <w:spacing w:after="120" w:line="480" w:lineRule="auto"/>
      <w:ind w:left="283"/>
    </w:pPr>
  </w:style>
  <w:style w:type="character" w:customStyle="1" w:styleId="Sangra2detindependienteCar">
    <w:name w:val="Sangría 2 de t. independiente Car"/>
    <w:basedOn w:val="Fuentedeprrafopredeter"/>
    <w:link w:val="Sangra2detindependiente"/>
    <w:rsid w:val="00B37CBF"/>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paragraph" w:styleId="Ttulo3">
    <w:name w:val="heading 3"/>
    <w:basedOn w:val="Normal"/>
    <w:next w:val="Normal"/>
    <w:link w:val="Ttulo3Car"/>
    <w:semiHidden/>
    <w:unhideWhenUsed/>
    <w:qFormat/>
    <w:rsid w:val="00B37C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B37CB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8">
    <w:name w:val="heading 8"/>
    <w:basedOn w:val="Normal"/>
    <w:next w:val="Normal"/>
    <w:link w:val="Ttulo8Car"/>
    <w:semiHidden/>
    <w:unhideWhenUsed/>
    <w:qFormat/>
    <w:rsid w:val="00B37CB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 w:type="character" w:customStyle="1" w:styleId="Ttulo3Car">
    <w:name w:val="Título 3 Car"/>
    <w:basedOn w:val="Fuentedeprrafopredeter"/>
    <w:link w:val="Ttulo3"/>
    <w:semiHidden/>
    <w:rsid w:val="00B37CBF"/>
    <w:rPr>
      <w:rFonts w:asciiTheme="majorHAnsi" w:eastAsiaTheme="majorEastAsia" w:hAnsiTheme="majorHAnsi" w:cstheme="majorBidi"/>
      <w:b/>
      <w:bCs/>
      <w:color w:val="4F81BD" w:themeColor="accent1"/>
      <w:sz w:val="22"/>
      <w:szCs w:val="22"/>
      <w:lang w:eastAsia="en-US"/>
    </w:rPr>
  </w:style>
  <w:style w:type="character" w:customStyle="1" w:styleId="Ttulo4Car">
    <w:name w:val="Título 4 Car"/>
    <w:basedOn w:val="Fuentedeprrafopredeter"/>
    <w:link w:val="Ttulo4"/>
    <w:semiHidden/>
    <w:rsid w:val="00B37CBF"/>
    <w:rPr>
      <w:rFonts w:asciiTheme="majorHAnsi" w:eastAsiaTheme="majorEastAsia" w:hAnsiTheme="majorHAnsi" w:cstheme="majorBidi"/>
      <w:b/>
      <w:bCs/>
      <w:i/>
      <w:iCs/>
      <w:color w:val="4F81BD" w:themeColor="accent1"/>
      <w:sz w:val="22"/>
      <w:szCs w:val="22"/>
      <w:lang w:eastAsia="en-US"/>
    </w:rPr>
  </w:style>
  <w:style w:type="character" w:customStyle="1" w:styleId="Ttulo8Car">
    <w:name w:val="Título 8 Car"/>
    <w:basedOn w:val="Fuentedeprrafopredeter"/>
    <w:link w:val="Ttulo8"/>
    <w:semiHidden/>
    <w:rsid w:val="00B37CBF"/>
    <w:rPr>
      <w:rFonts w:asciiTheme="majorHAnsi" w:eastAsiaTheme="majorEastAsia" w:hAnsiTheme="majorHAnsi" w:cstheme="majorBidi"/>
      <w:color w:val="404040" w:themeColor="text1" w:themeTint="BF"/>
      <w:lang w:eastAsia="en-US"/>
    </w:rPr>
  </w:style>
  <w:style w:type="paragraph" w:styleId="Sangra2detindependiente">
    <w:name w:val="Body Text Indent 2"/>
    <w:basedOn w:val="Normal"/>
    <w:link w:val="Sangra2detindependienteCar"/>
    <w:rsid w:val="00B37CBF"/>
    <w:pPr>
      <w:spacing w:after="120" w:line="480" w:lineRule="auto"/>
      <w:ind w:left="283"/>
    </w:pPr>
  </w:style>
  <w:style w:type="character" w:customStyle="1" w:styleId="Sangra2detindependienteCar">
    <w:name w:val="Sangría 2 de t. independiente Car"/>
    <w:basedOn w:val="Fuentedeprrafopredeter"/>
    <w:link w:val="Sangra2detindependiente"/>
    <w:rsid w:val="00B37CBF"/>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9549">
      <w:bodyDiv w:val="1"/>
      <w:marLeft w:val="0"/>
      <w:marRight w:val="0"/>
      <w:marTop w:val="0"/>
      <w:marBottom w:val="0"/>
      <w:divBdr>
        <w:top w:val="none" w:sz="0" w:space="0" w:color="auto"/>
        <w:left w:val="none" w:sz="0" w:space="0" w:color="auto"/>
        <w:bottom w:val="none" w:sz="0" w:space="0" w:color="auto"/>
        <w:right w:val="none" w:sz="0" w:space="0" w:color="auto"/>
      </w:divBdr>
    </w:div>
    <w:div w:id="396244826">
      <w:bodyDiv w:val="1"/>
      <w:marLeft w:val="0"/>
      <w:marRight w:val="0"/>
      <w:marTop w:val="0"/>
      <w:marBottom w:val="0"/>
      <w:divBdr>
        <w:top w:val="none" w:sz="0" w:space="0" w:color="auto"/>
        <w:left w:val="none" w:sz="0" w:space="0" w:color="auto"/>
        <w:bottom w:val="none" w:sz="0" w:space="0" w:color="auto"/>
        <w:right w:val="none" w:sz="0" w:space="0" w:color="auto"/>
      </w:divBdr>
    </w:div>
    <w:div w:id="740493146">
      <w:bodyDiv w:val="1"/>
      <w:marLeft w:val="0"/>
      <w:marRight w:val="0"/>
      <w:marTop w:val="0"/>
      <w:marBottom w:val="0"/>
      <w:divBdr>
        <w:top w:val="none" w:sz="0" w:space="0" w:color="auto"/>
        <w:left w:val="none" w:sz="0" w:space="0" w:color="auto"/>
        <w:bottom w:val="none" w:sz="0" w:space="0" w:color="auto"/>
        <w:right w:val="none" w:sz="0" w:space="0" w:color="auto"/>
      </w:divBdr>
    </w:div>
    <w:div w:id="805127407">
      <w:bodyDiv w:val="1"/>
      <w:marLeft w:val="0"/>
      <w:marRight w:val="0"/>
      <w:marTop w:val="0"/>
      <w:marBottom w:val="0"/>
      <w:divBdr>
        <w:top w:val="none" w:sz="0" w:space="0" w:color="auto"/>
        <w:left w:val="none" w:sz="0" w:space="0" w:color="auto"/>
        <w:bottom w:val="none" w:sz="0" w:space="0" w:color="auto"/>
        <w:right w:val="none" w:sz="0" w:space="0" w:color="auto"/>
      </w:divBdr>
    </w:div>
    <w:div w:id="895701015">
      <w:bodyDiv w:val="1"/>
      <w:marLeft w:val="0"/>
      <w:marRight w:val="0"/>
      <w:marTop w:val="0"/>
      <w:marBottom w:val="0"/>
      <w:divBdr>
        <w:top w:val="none" w:sz="0" w:space="0" w:color="auto"/>
        <w:left w:val="none" w:sz="0" w:space="0" w:color="auto"/>
        <w:bottom w:val="none" w:sz="0" w:space="0" w:color="auto"/>
        <w:right w:val="none" w:sz="0" w:space="0" w:color="auto"/>
      </w:divBdr>
    </w:div>
    <w:div w:id="1063872954">
      <w:bodyDiv w:val="1"/>
      <w:marLeft w:val="0"/>
      <w:marRight w:val="0"/>
      <w:marTop w:val="0"/>
      <w:marBottom w:val="0"/>
      <w:divBdr>
        <w:top w:val="none" w:sz="0" w:space="0" w:color="auto"/>
        <w:left w:val="none" w:sz="0" w:space="0" w:color="auto"/>
        <w:bottom w:val="none" w:sz="0" w:space="0" w:color="auto"/>
        <w:right w:val="none" w:sz="0" w:space="0" w:color="auto"/>
      </w:divBdr>
    </w:div>
    <w:div w:id="1096485351">
      <w:bodyDiv w:val="1"/>
      <w:marLeft w:val="0"/>
      <w:marRight w:val="0"/>
      <w:marTop w:val="0"/>
      <w:marBottom w:val="0"/>
      <w:divBdr>
        <w:top w:val="none" w:sz="0" w:space="0" w:color="auto"/>
        <w:left w:val="none" w:sz="0" w:space="0" w:color="auto"/>
        <w:bottom w:val="none" w:sz="0" w:space="0" w:color="auto"/>
        <w:right w:val="none" w:sz="0" w:space="0" w:color="auto"/>
      </w:divBdr>
    </w:div>
    <w:div w:id="1237398544">
      <w:bodyDiv w:val="1"/>
      <w:marLeft w:val="0"/>
      <w:marRight w:val="0"/>
      <w:marTop w:val="0"/>
      <w:marBottom w:val="0"/>
      <w:divBdr>
        <w:top w:val="none" w:sz="0" w:space="0" w:color="auto"/>
        <w:left w:val="none" w:sz="0" w:space="0" w:color="auto"/>
        <w:bottom w:val="none" w:sz="0" w:space="0" w:color="auto"/>
        <w:right w:val="none" w:sz="0" w:space="0" w:color="auto"/>
      </w:divBdr>
    </w:div>
    <w:div w:id="1308314118">
      <w:bodyDiv w:val="1"/>
      <w:marLeft w:val="0"/>
      <w:marRight w:val="0"/>
      <w:marTop w:val="0"/>
      <w:marBottom w:val="0"/>
      <w:divBdr>
        <w:top w:val="none" w:sz="0" w:space="0" w:color="auto"/>
        <w:left w:val="none" w:sz="0" w:space="0" w:color="auto"/>
        <w:bottom w:val="none" w:sz="0" w:space="0" w:color="auto"/>
        <w:right w:val="none" w:sz="0" w:space="0" w:color="auto"/>
      </w:divBdr>
    </w:div>
    <w:div w:id="1842501230">
      <w:bodyDiv w:val="1"/>
      <w:marLeft w:val="0"/>
      <w:marRight w:val="0"/>
      <w:marTop w:val="0"/>
      <w:marBottom w:val="0"/>
      <w:divBdr>
        <w:top w:val="none" w:sz="0" w:space="0" w:color="auto"/>
        <w:left w:val="none" w:sz="0" w:space="0" w:color="auto"/>
        <w:bottom w:val="none" w:sz="0" w:space="0" w:color="auto"/>
        <w:right w:val="none" w:sz="0" w:space="0" w:color="auto"/>
      </w:divBdr>
    </w:div>
    <w:div w:id="1894460869">
      <w:bodyDiv w:val="1"/>
      <w:marLeft w:val="0"/>
      <w:marRight w:val="0"/>
      <w:marTop w:val="0"/>
      <w:marBottom w:val="0"/>
      <w:divBdr>
        <w:top w:val="none" w:sz="0" w:space="0" w:color="auto"/>
        <w:left w:val="none" w:sz="0" w:space="0" w:color="auto"/>
        <w:bottom w:val="none" w:sz="0" w:space="0" w:color="auto"/>
        <w:right w:val="none" w:sz="0" w:space="0" w:color="auto"/>
      </w:divBdr>
    </w:div>
    <w:div w:id="1918049151">
      <w:bodyDiv w:val="1"/>
      <w:marLeft w:val="0"/>
      <w:marRight w:val="0"/>
      <w:marTop w:val="0"/>
      <w:marBottom w:val="0"/>
      <w:divBdr>
        <w:top w:val="none" w:sz="0" w:space="0" w:color="auto"/>
        <w:left w:val="none" w:sz="0" w:space="0" w:color="auto"/>
        <w:bottom w:val="none" w:sz="0" w:space="0" w:color="auto"/>
        <w:right w:val="none" w:sz="0" w:space="0" w:color="auto"/>
      </w:divBdr>
    </w:div>
    <w:div w:id="21382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91634-6FE9-4629-B311-8BA1F29C7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2886</Words>
  <Characters>15873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Carina</cp:lastModifiedBy>
  <cp:revision>5</cp:revision>
  <cp:lastPrinted>2018-05-07T11:54:00Z</cp:lastPrinted>
  <dcterms:created xsi:type="dcterms:W3CDTF">2018-05-11T15:14:00Z</dcterms:created>
  <dcterms:modified xsi:type="dcterms:W3CDTF">2018-05-11T15:55:00Z</dcterms:modified>
</cp:coreProperties>
</file>